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600AD" w14:textId="74BB6ABF" w:rsidR="00335686" w:rsidRPr="004A252C" w:rsidRDefault="004A252C" w:rsidP="002D3643">
      <w:pPr>
        <w:ind w:firstLine="0"/>
        <w:jc w:val="center"/>
        <w:rPr>
          <w:i/>
          <w:color w:val="auto"/>
        </w:rPr>
      </w:pPr>
      <w:r>
        <w:rPr>
          <w:rFonts w:hint="eastAsia"/>
          <w:b/>
          <w:i/>
          <w:color w:val="auto"/>
        </w:rPr>
        <w:t>照片：</w:t>
      </w:r>
      <w:r>
        <w:rPr>
          <w:rFonts w:hint="eastAsia"/>
          <w:i/>
          <w:color w:val="auto"/>
        </w:rPr>
        <w:t>海斯坦普首席执行官</w:t>
      </w:r>
      <w:r>
        <w:rPr>
          <w:rFonts w:hint="eastAsia"/>
          <w:i/>
          <w:color w:val="auto"/>
        </w:rPr>
        <w:t>Francisco L</w:t>
      </w:r>
      <w:r>
        <w:rPr>
          <w:rFonts w:hint="eastAsia"/>
          <w:i/>
          <w:color w:val="auto"/>
        </w:rPr>
        <w:t>ó</w:t>
      </w:r>
      <w:r>
        <w:rPr>
          <w:rFonts w:hint="eastAsia"/>
          <w:i/>
          <w:color w:val="auto"/>
        </w:rPr>
        <w:t>pez Peña</w:t>
      </w:r>
      <w:r>
        <w:rPr>
          <w:rFonts w:hint="eastAsia"/>
          <w:i/>
          <w:color w:val="auto"/>
        </w:rPr>
        <w:t>（站着的那位）和执行主席</w:t>
      </w:r>
      <w:r>
        <w:rPr>
          <w:rFonts w:hint="eastAsia"/>
          <w:i/>
          <w:color w:val="auto"/>
        </w:rPr>
        <w:t>Francisco J. Riberas</w:t>
      </w:r>
      <w:r>
        <w:rPr>
          <w:rFonts w:hint="eastAsia"/>
          <w:i/>
          <w:color w:val="auto"/>
        </w:rPr>
        <w:t>（坐着的那位）</w:t>
      </w:r>
    </w:p>
    <w:p w14:paraId="65E980D2" w14:textId="6C6A9C2B" w:rsidR="006444A6" w:rsidRPr="00882BF5" w:rsidRDefault="006444A6" w:rsidP="002D3643">
      <w:pPr>
        <w:ind w:firstLine="0"/>
        <w:jc w:val="center"/>
        <w:rPr>
          <w:b/>
          <w:color w:val="auto"/>
          <w:sz w:val="44"/>
          <w:szCs w:val="44"/>
        </w:rPr>
      </w:pPr>
      <w:r>
        <w:rPr>
          <w:rFonts w:hint="eastAsia"/>
          <w:b/>
          <w:color w:val="auto"/>
          <w:sz w:val="44"/>
          <w:szCs w:val="44"/>
        </w:rPr>
        <w:t>海斯坦普</w:t>
      </w:r>
      <w:r>
        <w:rPr>
          <w:rFonts w:hint="eastAsia"/>
          <w:b/>
          <w:color w:val="auto"/>
          <w:sz w:val="44"/>
          <w:szCs w:val="44"/>
        </w:rPr>
        <w:t>2019</w:t>
      </w:r>
      <w:r>
        <w:rPr>
          <w:rFonts w:hint="eastAsia"/>
          <w:b/>
          <w:color w:val="auto"/>
          <w:sz w:val="44"/>
          <w:szCs w:val="44"/>
        </w:rPr>
        <w:t>年前三个月收入</w:t>
      </w:r>
      <w:r>
        <w:rPr>
          <w:rFonts w:hint="eastAsia"/>
          <w:b/>
          <w:color w:val="auto"/>
          <w:sz w:val="44"/>
          <w:szCs w:val="44"/>
        </w:rPr>
        <w:t>21.7</w:t>
      </w:r>
      <w:r>
        <w:rPr>
          <w:rFonts w:hint="eastAsia"/>
          <w:b/>
          <w:color w:val="auto"/>
          <w:sz w:val="44"/>
          <w:szCs w:val="44"/>
        </w:rPr>
        <w:t>亿欧元</w:t>
      </w:r>
    </w:p>
    <w:p w14:paraId="49FFEF33" w14:textId="154DCA24" w:rsidR="005918C6" w:rsidRDefault="00882BF5" w:rsidP="009C3976">
      <w:pPr>
        <w:numPr>
          <w:ilvl w:val="0"/>
          <w:numId w:val="1"/>
        </w:numPr>
        <w:spacing w:after="201" w:line="239" w:lineRule="auto"/>
        <w:ind w:right="-13" w:hanging="360"/>
        <w:jc w:val="left"/>
        <w:rPr>
          <w:iCs/>
          <w:color w:val="auto"/>
        </w:rPr>
      </w:pPr>
      <w:r>
        <w:rPr>
          <w:rFonts w:hint="eastAsia"/>
          <w:color w:val="auto"/>
        </w:rPr>
        <w:t>这一时期的收入表现优于汽车生产市场，息税折旧摊销前利润</w:t>
      </w:r>
      <w:r>
        <w:rPr>
          <w:rFonts w:hint="eastAsia"/>
          <w:iCs/>
          <w:color w:val="auto"/>
        </w:rPr>
        <w:t>（</w:t>
      </w:r>
      <w:r>
        <w:rPr>
          <w:rFonts w:hint="eastAsia"/>
          <w:iCs/>
          <w:color w:val="auto"/>
        </w:rPr>
        <w:t>EBITDA</w:t>
      </w:r>
      <w:r>
        <w:rPr>
          <w:rFonts w:hint="eastAsia"/>
          <w:iCs/>
          <w:color w:val="auto"/>
        </w:rPr>
        <w:t>）为</w:t>
      </w:r>
      <w:r>
        <w:rPr>
          <w:rFonts w:hint="eastAsia"/>
          <w:iCs/>
          <w:color w:val="auto"/>
        </w:rPr>
        <w:t>2.49</w:t>
      </w:r>
      <w:r>
        <w:rPr>
          <w:rFonts w:hint="eastAsia"/>
          <w:iCs/>
          <w:color w:val="auto"/>
        </w:rPr>
        <w:t>亿欧元，增长了</w:t>
      </w:r>
      <w:r>
        <w:rPr>
          <w:rFonts w:hint="eastAsia"/>
          <w:iCs/>
          <w:color w:val="auto"/>
        </w:rPr>
        <w:t xml:space="preserve">7.5% </w:t>
      </w:r>
    </w:p>
    <w:p w14:paraId="64507C6D" w14:textId="5477AED0" w:rsidR="006D6380" w:rsidRDefault="006D6380" w:rsidP="009C3976">
      <w:pPr>
        <w:numPr>
          <w:ilvl w:val="0"/>
          <w:numId w:val="1"/>
        </w:numPr>
        <w:spacing w:after="201" w:line="239" w:lineRule="auto"/>
        <w:ind w:right="-13" w:hanging="360"/>
        <w:jc w:val="left"/>
        <w:rPr>
          <w:iCs/>
          <w:color w:val="auto"/>
        </w:rPr>
      </w:pPr>
      <w:r>
        <w:rPr>
          <w:rFonts w:hint="eastAsia"/>
        </w:rPr>
        <w:t>海斯坦普近期通过与当地供应商签署的两份谅解备忘录加强了与中国本土原始设备制造商的合作</w:t>
      </w:r>
      <w:r>
        <w:rPr>
          <w:rFonts w:hint="eastAsia"/>
        </w:rPr>
        <w:t xml:space="preserve"> </w:t>
      </w:r>
    </w:p>
    <w:p w14:paraId="5C2A635C" w14:textId="18861573" w:rsidR="006444A6" w:rsidRPr="00871CB1" w:rsidRDefault="005918C6" w:rsidP="005918C6">
      <w:pPr>
        <w:numPr>
          <w:ilvl w:val="0"/>
          <w:numId w:val="1"/>
        </w:numPr>
        <w:spacing w:after="201" w:line="239" w:lineRule="auto"/>
        <w:ind w:right="-13" w:hanging="360"/>
        <w:jc w:val="left"/>
        <w:rPr>
          <w:iCs/>
          <w:color w:val="auto"/>
        </w:rPr>
      </w:pPr>
      <w:r>
        <w:rPr>
          <w:rFonts w:hint="eastAsia"/>
          <w:iCs/>
          <w:color w:val="auto"/>
        </w:rPr>
        <w:t>公司在西班牙毕尔巴鄂召开的年度股东大会当日公布了</w:t>
      </w:r>
      <w:r>
        <w:rPr>
          <w:rFonts w:hint="eastAsia"/>
          <w:iCs/>
          <w:color w:val="auto"/>
        </w:rPr>
        <w:t>2019</w:t>
      </w:r>
      <w:r>
        <w:rPr>
          <w:rFonts w:hint="eastAsia"/>
          <w:iCs/>
          <w:color w:val="auto"/>
        </w:rPr>
        <w:t>年第一季度的财务业绩</w:t>
      </w:r>
    </w:p>
    <w:p w14:paraId="08063849" w14:textId="13A24B32" w:rsidR="00E4083F" w:rsidRDefault="00D931FF" w:rsidP="00A7319F">
      <w:pPr>
        <w:spacing w:after="201" w:line="239" w:lineRule="auto"/>
        <w:ind w:right="-13" w:firstLine="0"/>
        <w:rPr>
          <w:color w:val="auto"/>
        </w:rPr>
      </w:pPr>
      <w:r>
        <w:rPr>
          <w:rFonts w:hint="eastAsia"/>
          <w:b/>
          <w:bCs/>
          <w:color w:val="auto"/>
        </w:rPr>
        <w:t>毕尔巴鄂，</w:t>
      </w:r>
      <w:r>
        <w:rPr>
          <w:rFonts w:hint="eastAsia"/>
          <w:b/>
          <w:bCs/>
          <w:color w:val="auto"/>
        </w:rPr>
        <w:t>2019</w:t>
      </w:r>
      <w:r>
        <w:rPr>
          <w:rFonts w:hint="eastAsia"/>
          <w:b/>
          <w:bCs/>
          <w:color w:val="auto"/>
        </w:rPr>
        <w:t>年</w:t>
      </w:r>
      <w:r>
        <w:rPr>
          <w:rFonts w:hint="eastAsia"/>
          <w:b/>
          <w:bCs/>
          <w:color w:val="auto"/>
        </w:rPr>
        <w:t>5</w:t>
      </w:r>
      <w:r>
        <w:rPr>
          <w:rFonts w:hint="eastAsia"/>
          <w:b/>
          <w:bCs/>
          <w:color w:val="auto"/>
        </w:rPr>
        <w:t>月</w:t>
      </w:r>
      <w:r>
        <w:rPr>
          <w:rFonts w:hint="eastAsia"/>
          <w:b/>
          <w:bCs/>
          <w:color w:val="auto"/>
        </w:rPr>
        <w:t>6</w:t>
      </w:r>
      <w:r>
        <w:rPr>
          <w:rFonts w:hint="eastAsia"/>
          <w:b/>
          <w:bCs/>
          <w:color w:val="auto"/>
        </w:rPr>
        <w:t>日</w:t>
      </w:r>
      <w:r>
        <w:rPr>
          <w:rFonts w:hint="eastAsia"/>
          <w:color w:val="auto"/>
        </w:rPr>
        <w:t xml:space="preserve"> - </w:t>
      </w:r>
      <w:r>
        <w:rPr>
          <w:rFonts w:hint="eastAsia"/>
          <w:color w:val="auto"/>
        </w:rPr>
        <w:t>专门为汽车行业设计、开发和制造高度工程化的金属零部件的跨国集团海斯坦普，在</w:t>
      </w:r>
      <w:r>
        <w:rPr>
          <w:rFonts w:hint="eastAsia"/>
          <w:color w:val="auto"/>
        </w:rPr>
        <w:t>2019</w:t>
      </w:r>
      <w:r>
        <w:rPr>
          <w:rFonts w:hint="eastAsia"/>
          <w:color w:val="auto"/>
        </w:rPr>
        <w:t>年第一季度的收入持续增长，达到</w:t>
      </w:r>
      <w:r>
        <w:rPr>
          <w:rFonts w:hint="eastAsia"/>
          <w:color w:val="auto"/>
        </w:rPr>
        <w:t>21.7</w:t>
      </w:r>
      <w:r>
        <w:rPr>
          <w:rFonts w:hint="eastAsia"/>
          <w:color w:val="auto"/>
        </w:rPr>
        <w:t>亿欧元，按恒定汇率计算比</w:t>
      </w:r>
      <w:r>
        <w:rPr>
          <w:rFonts w:hint="eastAsia"/>
          <w:color w:val="auto"/>
        </w:rPr>
        <w:t>2018</w:t>
      </w:r>
      <w:r>
        <w:rPr>
          <w:rFonts w:hint="eastAsia"/>
          <w:color w:val="auto"/>
        </w:rPr>
        <w:t>年第一季度增长了</w:t>
      </w:r>
      <w:r>
        <w:rPr>
          <w:rFonts w:hint="eastAsia"/>
          <w:color w:val="auto"/>
        </w:rPr>
        <w:t>6.8%</w:t>
      </w:r>
      <w:r>
        <w:rPr>
          <w:rFonts w:hint="eastAsia"/>
          <w:color w:val="auto"/>
        </w:rPr>
        <w:t>。</w:t>
      </w:r>
    </w:p>
    <w:p w14:paraId="70236DAD" w14:textId="781C49DC" w:rsidR="00391B9E" w:rsidRPr="0029551B" w:rsidRDefault="00270CDB" w:rsidP="0029551B">
      <w:r>
        <w:rPr>
          <w:rFonts w:hint="eastAsia"/>
        </w:rPr>
        <w:t>这一时期的收入表现良好，原因是项目的增加使得公司在汽车生产市场的表现超出预期，不过仍充满挑战。息税折旧摊销前利润（包含《国际财务报告准则第</w:t>
      </w:r>
      <w:r>
        <w:rPr>
          <w:rFonts w:hint="eastAsia"/>
        </w:rPr>
        <w:t>16</w:t>
      </w:r>
      <w:r>
        <w:rPr>
          <w:rFonts w:hint="eastAsia"/>
        </w:rPr>
        <w:t>号》</w:t>
      </w:r>
      <w:r>
        <w:rPr>
          <w:rFonts w:hint="eastAsia"/>
          <w:iCs/>
          <w:color w:val="auto"/>
        </w:rPr>
        <w:t>规定的经营租赁调整）为</w:t>
      </w:r>
      <w:r>
        <w:rPr>
          <w:rFonts w:hint="eastAsia"/>
          <w:iCs/>
          <w:color w:val="auto"/>
        </w:rPr>
        <w:t>2.49</w:t>
      </w:r>
      <w:r>
        <w:rPr>
          <w:rFonts w:hint="eastAsia"/>
          <w:iCs/>
          <w:color w:val="auto"/>
        </w:rPr>
        <w:t>亿欧元</w:t>
      </w:r>
      <w:r>
        <w:rPr>
          <w:rFonts w:hint="eastAsia"/>
        </w:rPr>
        <w:t>，增长了</w:t>
      </w:r>
      <w:r>
        <w:rPr>
          <w:rFonts w:hint="eastAsia"/>
        </w:rPr>
        <w:t>7.5%</w:t>
      </w:r>
      <w:r>
        <w:rPr>
          <w:rFonts w:hint="eastAsia"/>
        </w:rPr>
        <w:t>，利润率为</w:t>
      </w:r>
      <w:r>
        <w:rPr>
          <w:rFonts w:hint="eastAsia"/>
        </w:rPr>
        <w:t>11.5%</w:t>
      </w:r>
      <w:r>
        <w:rPr>
          <w:rFonts w:hint="eastAsia"/>
        </w:rPr>
        <w:t>。净利润达</w:t>
      </w:r>
      <w:r>
        <w:rPr>
          <w:rFonts w:hint="eastAsia"/>
        </w:rPr>
        <w:t>4100</w:t>
      </w:r>
      <w:r>
        <w:rPr>
          <w:rFonts w:hint="eastAsia"/>
        </w:rPr>
        <w:t>万欧元。</w:t>
      </w:r>
      <w:r>
        <w:rPr>
          <w:rFonts w:hint="eastAsia"/>
        </w:rPr>
        <w:t xml:space="preserve"> </w:t>
      </w:r>
    </w:p>
    <w:tbl>
      <w:tblPr>
        <w:tblStyle w:val="Tablaconcuadrcula"/>
        <w:tblW w:w="0" w:type="auto"/>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1773"/>
        <w:gridCol w:w="2161"/>
      </w:tblGrid>
      <w:tr w:rsidR="007C0855" w:rsidRPr="002D3643" w14:paraId="05797F9D" w14:textId="77777777" w:rsidTr="007C0855">
        <w:trPr>
          <w:trHeight w:val="437"/>
          <w:jc w:val="center"/>
        </w:trPr>
        <w:tc>
          <w:tcPr>
            <w:tcW w:w="2547" w:type="dxa"/>
            <w:shd w:val="clear" w:color="auto" w:fill="222A35" w:themeFill="text2" w:themeFillShade="80"/>
            <w:vAlign w:val="center"/>
          </w:tcPr>
          <w:p w14:paraId="1A338B26" w14:textId="77777777" w:rsidR="007C0855" w:rsidRPr="002D3643" w:rsidRDefault="007C0855" w:rsidP="00C51296">
            <w:pPr>
              <w:spacing w:after="0" w:line="239" w:lineRule="auto"/>
              <w:ind w:right="-13" w:firstLine="0"/>
              <w:jc w:val="center"/>
              <w:rPr>
                <w:rFonts w:eastAsia="Times New Roman"/>
                <w:color w:val="FFFFFF" w:themeColor="background1"/>
                <w:sz w:val="18"/>
                <w:szCs w:val="18"/>
              </w:rPr>
            </w:pPr>
            <w:r>
              <w:rPr>
                <w:rFonts w:hint="eastAsia"/>
                <w:color w:val="FFFFFF" w:themeColor="background1"/>
                <w:sz w:val="18"/>
                <w:szCs w:val="18"/>
              </w:rPr>
              <w:t>百万欧元</w:t>
            </w:r>
          </w:p>
        </w:tc>
        <w:tc>
          <w:tcPr>
            <w:tcW w:w="1773" w:type="dxa"/>
            <w:shd w:val="clear" w:color="auto" w:fill="222A35" w:themeFill="text2" w:themeFillShade="80"/>
            <w:vAlign w:val="center"/>
          </w:tcPr>
          <w:p w14:paraId="466DE9AD" w14:textId="523A8CFE" w:rsidR="007C0855" w:rsidRPr="002D3643" w:rsidRDefault="007C0855" w:rsidP="00C51296">
            <w:pPr>
              <w:spacing w:after="0" w:line="239" w:lineRule="auto"/>
              <w:ind w:right="-13" w:firstLine="0"/>
              <w:jc w:val="center"/>
              <w:rPr>
                <w:rFonts w:eastAsia="Times New Roman"/>
                <w:color w:val="FFFFFF" w:themeColor="background1"/>
                <w:sz w:val="18"/>
                <w:szCs w:val="18"/>
              </w:rPr>
            </w:pPr>
            <w:r>
              <w:rPr>
                <w:rFonts w:hint="eastAsia"/>
                <w:color w:val="FFFFFF" w:themeColor="background1"/>
                <w:sz w:val="18"/>
                <w:szCs w:val="18"/>
              </w:rPr>
              <w:t>2018</w:t>
            </w:r>
            <w:r>
              <w:rPr>
                <w:rFonts w:hint="eastAsia"/>
                <w:color w:val="FFFFFF" w:themeColor="background1"/>
                <w:sz w:val="18"/>
                <w:szCs w:val="18"/>
              </w:rPr>
              <w:t>年第</w:t>
            </w:r>
            <w:r>
              <w:rPr>
                <w:rFonts w:hint="eastAsia"/>
                <w:color w:val="FFFFFF" w:themeColor="background1"/>
                <w:sz w:val="18"/>
                <w:szCs w:val="18"/>
              </w:rPr>
              <w:t>1</w:t>
            </w:r>
            <w:r>
              <w:rPr>
                <w:rFonts w:hint="eastAsia"/>
                <w:color w:val="FFFFFF" w:themeColor="background1"/>
                <w:sz w:val="18"/>
                <w:szCs w:val="18"/>
              </w:rPr>
              <w:t>季度</w:t>
            </w:r>
          </w:p>
        </w:tc>
        <w:tc>
          <w:tcPr>
            <w:tcW w:w="2161" w:type="dxa"/>
            <w:shd w:val="clear" w:color="auto" w:fill="222A35" w:themeFill="text2" w:themeFillShade="80"/>
            <w:vAlign w:val="center"/>
          </w:tcPr>
          <w:p w14:paraId="01AA6685" w14:textId="701B22E2" w:rsidR="007C0855" w:rsidRPr="002D3643" w:rsidRDefault="007C0855" w:rsidP="00C51296">
            <w:pPr>
              <w:spacing w:after="0" w:line="239" w:lineRule="auto"/>
              <w:ind w:right="-13" w:firstLine="0"/>
              <w:jc w:val="center"/>
              <w:rPr>
                <w:rFonts w:eastAsia="Times New Roman"/>
                <w:color w:val="FFFFFF" w:themeColor="background1"/>
                <w:sz w:val="18"/>
                <w:szCs w:val="18"/>
              </w:rPr>
            </w:pPr>
            <w:r>
              <w:rPr>
                <w:rFonts w:hint="eastAsia"/>
                <w:color w:val="FFFFFF" w:themeColor="background1"/>
                <w:sz w:val="18"/>
                <w:szCs w:val="18"/>
              </w:rPr>
              <w:t>2019</w:t>
            </w:r>
            <w:r>
              <w:rPr>
                <w:rFonts w:hint="eastAsia"/>
                <w:color w:val="FFFFFF" w:themeColor="background1"/>
                <w:sz w:val="18"/>
                <w:szCs w:val="18"/>
              </w:rPr>
              <w:t>年第</w:t>
            </w:r>
            <w:r>
              <w:rPr>
                <w:rFonts w:hint="eastAsia"/>
                <w:color w:val="FFFFFF" w:themeColor="background1"/>
                <w:sz w:val="18"/>
                <w:szCs w:val="18"/>
              </w:rPr>
              <w:t>1</w:t>
            </w:r>
            <w:r>
              <w:rPr>
                <w:rFonts w:hint="eastAsia"/>
                <w:color w:val="FFFFFF" w:themeColor="background1"/>
                <w:sz w:val="18"/>
                <w:szCs w:val="18"/>
              </w:rPr>
              <w:t>季度</w:t>
            </w:r>
          </w:p>
        </w:tc>
      </w:tr>
      <w:tr w:rsidR="007C0855" w:rsidRPr="002D3643" w14:paraId="6CE93854" w14:textId="77777777" w:rsidTr="007C0855">
        <w:trPr>
          <w:trHeight w:val="570"/>
          <w:jc w:val="center"/>
        </w:trPr>
        <w:tc>
          <w:tcPr>
            <w:tcW w:w="2547" w:type="dxa"/>
            <w:vAlign w:val="center"/>
          </w:tcPr>
          <w:p w14:paraId="21214F0C" w14:textId="77777777" w:rsidR="007C0855" w:rsidRPr="002D3643" w:rsidRDefault="007C0855" w:rsidP="00C51296">
            <w:pPr>
              <w:spacing w:after="201" w:line="239" w:lineRule="auto"/>
              <w:ind w:right="-13" w:firstLine="0"/>
              <w:jc w:val="center"/>
              <w:rPr>
                <w:rFonts w:eastAsia="Times New Roman"/>
                <w:sz w:val="18"/>
                <w:szCs w:val="18"/>
              </w:rPr>
            </w:pPr>
            <w:r>
              <w:rPr>
                <w:rFonts w:hint="eastAsia"/>
                <w:sz w:val="18"/>
                <w:szCs w:val="18"/>
              </w:rPr>
              <w:t>收入</w:t>
            </w:r>
          </w:p>
        </w:tc>
        <w:tc>
          <w:tcPr>
            <w:tcW w:w="1773" w:type="dxa"/>
            <w:vAlign w:val="center"/>
          </w:tcPr>
          <w:p w14:paraId="15E23BBC" w14:textId="742F8BFF" w:rsidR="007C0855" w:rsidRPr="002D3643" w:rsidRDefault="0039235F" w:rsidP="00C51296">
            <w:pPr>
              <w:spacing w:after="201" w:line="239" w:lineRule="auto"/>
              <w:ind w:right="-13" w:firstLine="0"/>
              <w:jc w:val="center"/>
              <w:rPr>
                <w:rFonts w:eastAsia="Times New Roman"/>
                <w:sz w:val="18"/>
                <w:szCs w:val="18"/>
              </w:rPr>
            </w:pPr>
            <w:r>
              <w:rPr>
                <w:rFonts w:hint="eastAsia"/>
                <w:sz w:val="18"/>
                <w:szCs w:val="18"/>
              </w:rPr>
              <w:t>2058</w:t>
            </w:r>
          </w:p>
        </w:tc>
        <w:tc>
          <w:tcPr>
            <w:tcW w:w="2161" w:type="dxa"/>
            <w:vAlign w:val="center"/>
          </w:tcPr>
          <w:p w14:paraId="231A6614" w14:textId="3E53A806" w:rsidR="007C0855" w:rsidRPr="002D3643" w:rsidRDefault="0039235F" w:rsidP="00C51296">
            <w:pPr>
              <w:spacing w:after="201" w:line="239" w:lineRule="auto"/>
              <w:ind w:right="-13" w:firstLine="0"/>
              <w:jc w:val="center"/>
              <w:rPr>
                <w:rFonts w:eastAsia="Times New Roman"/>
                <w:sz w:val="18"/>
                <w:szCs w:val="18"/>
              </w:rPr>
            </w:pPr>
            <w:r>
              <w:rPr>
                <w:rFonts w:hint="eastAsia"/>
                <w:sz w:val="18"/>
                <w:szCs w:val="18"/>
              </w:rPr>
              <w:t>2170</w:t>
            </w:r>
          </w:p>
        </w:tc>
      </w:tr>
      <w:tr w:rsidR="007C0855" w:rsidRPr="002D3643" w14:paraId="25BF2103" w14:textId="77777777" w:rsidTr="007C0855">
        <w:trPr>
          <w:jc w:val="center"/>
        </w:trPr>
        <w:tc>
          <w:tcPr>
            <w:tcW w:w="2547" w:type="dxa"/>
            <w:vAlign w:val="center"/>
          </w:tcPr>
          <w:p w14:paraId="4A22E487" w14:textId="77777777" w:rsidR="007C0855" w:rsidRPr="002D3643" w:rsidRDefault="007C0855" w:rsidP="00C51296">
            <w:pPr>
              <w:spacing w:after="201" w:line="239" w:lineRule="auto"/>
              <w:ind w:right="-13" w:firstLine="0"/>
              <w:jc w:val="center"/>
              <w:rPr>
                <w:rFonts w:eastAsia="Times New Roman"/>
                <w:sz w:val="18"/>
                <w:szCs w:val="18"/>
              </w:rPr>
            </w:pPr>
            <w:r>
              <w:rPr>
                <w:rFonts w:hint="eastAsia"/>
                <w:sz w:val="18"/>
                <w:szCs w:val="18"/>
              </w:rPr>
              <w:t>EBITDA</w:t>
            </w:r>
          </w:p>
        </w:tc>
        <w:tc>
          <w:tcPr>
            <w:tcW w:w="1773" w:type="dxa"/>
            <w:vAlign w:val="center"/>
          </w:tcPr>
          <w:p w14:paraId="37A5EC2E" w14:textId="2CA20C82" w:rsidR="007C0855" w:rsidRPr="002D3643" w:rsidRDefault="0039235F" w:rsidP="00C51296">
            <w:pPr>
              <w:spacing w:after="201" w:line="239" w:lineRule="auto"/>
              <w:ind w:right="-13" w:firstLine="0"/>
              <w:jc w:val="center"/>
              <w:rPr>
                <w:rFonts w:eastAsia="Times New Roman"/>
                <w:sz w:val="18"/>
                <w:szCs w:val="18"/>
              </w:rPr>
            </w:pPr>
            <w:r>
              <w:rPr>
                <w:rFonts w:hint="eastAsia"/>
                <w:sz w:val="18"/>
                <w:szCs w:val="18"/>
              </w:rPr>
              <w:t>231</w:t>
            </w:r>
          </w:p>
        </w:tc>
        <w:tc>
          <w:tcPr>
            <w:tcW w:w="2161" w:type="dxa"/>
            <w:vAlign w:val="center"/>
          </w:tcPr>
          <w:p w14:paraId="73627215" w14:textId="1580F7D8" w:rsidR="007C0855" w:rsidRPr="002D3643" w:rsidRDefault="00E4083F" w:rsidP="00C51296">
            <w:pPr>
              <w:spacing w:after="201" w:line="239" w:lineRule="auto"/>
              <w:ind w:right="-13" w:firstLine="0"/>
              <w:jc w:val="center"/>
              <w:rPr>
                <w:rFonts w:eastAsia="Times New Roman"/>
                <w:sz w:val="18"/>
                <w:szCs w:val="18"/>
              </w:rPr>
            </w:pPr>
            <w:r>
              <w:rPr>
                <w:rFonts w:hint="eastAsia"/>
                <w:sz w:val="18"/>
                <w:szCs w:val="18"/>
              </w:rPr>
              <w:t>249</w:t>
            </w:r>
          </w:p>
        </w:tc>
      </w:tr>
      <w:tr w:rsidR="002848FA" w:rsidRPr="002D3643" w14:paraId="157C4ABD" w14:textId="77777777" w:rsidTr="007C0855">
        <w:trPr>
          <w:jc w:val="center"/>
        </w:trPr>
        <w:tc>
          <w:tcPr>
            <w:tcW w:w="2547" w:type="dxa"/>
            <w:vAlign w:val="center"/>
          </w:tcPr>
          <w:p w14:paraId="00F8AC00" w14:textId="0626DFE8" w:rsidR="002848FA" w:rsidRPr="002D3643" w:rsidRDefault="002848FA" w:rsidP="00C51296">
            <w:pPr>
              <w:spacing w:after="201" w:line="239" w:lineRule="auto"/>
              <w:ind w:right="-13" w:firstLine="0"/>
              <w:jc w:val="center"/>
              <w:rPr>
                <w:rFonts w:eastAsia="Times New Roman"/>
                <w:sz w:val="18"/>
                <w:szCs w:val="18"/>
              </w:rPr>
            </w:pPr>
            <w:r>
              <w:rPr>
                <w:rFonts w:hint="eastAsia"/>
                <w:sz w:val="18"/>
                <w:szCs w:val="18"/>
              </w:rPr>
              <w:t>EBITDA</w:t>
            </w:r>
            <w:r>
              <w:rPr>
                <w:rFonts w:hint="eastAsia"/>
                <w:sz w:val="18"/>
                <w:szCs w:val="18"/>
              </w:rPr>
              <w:t>利润率（</w:t>
            </w:r>
            <w:r>
              <w:rPr>
                <w:rFonts w:hint="eastAsia"/>
                <w:sz w:val="18"/>
                <w:szCs w:val="18"/>
              </w:rPr>
              <w:t>%</w:t>
            </w:r>
            <w:r>
              <w:rPr>
                <w:rFonts w:hint="eastAsia"/>
                <w:sz w:val="18"/>
                <w:szCs w:val="18"/>
              </w:rPr>
              <w:t>）</w:t>
            </w:r>
          </w:p>
        </w:tc>
        <w:tc>
          <w:tcPr>
            <w:tcW w:w="1773" w:type="dxa"/>
            <w:vAlign w:val="center"/>
          </w:tcPr>
          <w:p w14:paraId="5EEB2D00" w14:textId="7EB25238" w:rsidR="002848FA" w:rsidRPr="002D3643" w:rsidRDefault="002848FA" w:rsidP="00C51296">
            <w:pPr>
              <w:spacing w:after="201" w:line="239" w:lineRule="auto"/>
              <w:ind w:right="-13" w:firstLine="0"/>
              <w:jc w:val="center"/>
              <w:rPr>
                <w:rFonts w:eastAsia="Times New Roman"/>
                <w:sz w:val="18"/>
                <w:szCs w:val="18"/>
              </w:rPr>
            </w:pPr>
            <w:r>
              <w:rPr>
                <w:rFonts w:hint="eastAsia"/>
                <w:sz w:val="18"/>
                <w:szCs w:val="18"/>
              </w:rPr>
              <w:t>11.2%</w:t>
            </w:r>
          </w:p>
        </w:tc>
        <w:tc>
          <w:tcPr>
            <w:tcW w:w="2161" w:type="dxa"/>
            <w:vAlign w:val="center"/>
          </w:tcPr>
          <w:p w14:paraId="7F2A5142" w14:textId="6F5A3305" w:rsidR="002848FA" w:rsidRPr="002D3643" w:rsidRDefault="002848FA" w:rsidP="00C51296">
            <w:pPr>
              <w:spacing w:after="201" w:line="239" w:lineRule="auto"/>
              <w:ind w:right="-13" w:firstLine="0"/>
              <w:jc w:val="center"/>
              <w:rPr>
                <w:rFonts w:eastAsia="Times New Roman"/>
                <w:sz w:val="18"/>
                <w:szCs w:val="18"/>
              </w:rPr>
            </w:pPr>
            <w:r>
              <w:rPr>
                <w:rFonts w:hint="eastAsia"/>
                <w:sz w:val="18"/>
                <w:szCs w:val="18"/>
              </w:rPr>
              <w:t>11.5%</w:t>
            </w:r>
          </w:p>
        </w:tc>
      </w:tr>
      <w:tr w:rsidR="007C0855" w:rsidRPr="002D3643" w14:paraId="36D0AC92" w14:textId="77777777" w:rsidTr="007C0855">
        <w:trPr>
          <w:jc w:val="center"/>
        </w:trPr>
        <w:tc>
          <w:tcPr>
            <w:tcW w:w="2547" w:type="dxa"/>
            <w:vAlign w:val="center"/>
          </w:tcPr>
          <w:p w14:paraId="30624150" w14:textId="77777777" w:rsidR="007C0855" w:rsidRPr="002D3643" w:rsidRDefault="007C0855" w:rsidP="00C51296">
            <w:pPr>
              <w:spacing w:after="201" w:line="239" w:lineRule="auto"/>
              <w:ind w:right="-13" w:firstLine="0"/>
              <w:jc w:val="center"/>
              <w:rPr>
                <w:rFonts w:eastAsia="Times New Roman"/>
                <w:sz w:val="18"/>
                <w:szCs w:val="18"/>
              </w:rPr>
            </w:pPr>
            <w:r>
              <w:rPr>
                <w:rFonts w:hint="eastAsia"/>
                <w:sz w:val="18"/>
                <w:szCs w:val="18"/>
              </w:rPr>
              <w:t>EBIT</w:t>
            </w:r>
            <w:r>
              <w:rPr>
                <w:rFonts w:hint="eastAsia"/>
                <w:sz w:val="18"/>
                <w:szCs w:val="18"/>
              </w:rPr>
              <w:t>（息税前利润）</w:t>
            </w:r>
          </w:p>
        </w:tc>
        <w:tc>
          <w:tcPr>
            <w:tcW w:w="1773" w:type="dxa"/>
            <w:vAlign w:val="center"/>
          </w:tcPr>
          <w:p w14:paraId="44707001" w14:textId="45109C6F" w:rsidR="007C0855" w:rsidRPr="002D3643" w:rsidRDefault="0039235F" w:rsidP="00C51296">
            <w:pPr>
              <w:spacing w:after="201" w:line="239" w:lineRule="auto"/>
              <w:ind w:right="-13" w:firstLine="0"/>
              <w:jc w:val="center"/>
              <w:rPr>
                <w:rFonts w:eastAsia="Times New Roman"/>
                <w:sz w:val="18"/>
                <w:szCs w:val="18"/>
              </w:rPr>
            </w:pPr>
            <w:r>
              <w:rPr>
                <w:rFonts w:hint="eastAsia"/>
                <w:sz w:val="18"/>
                <w:szCs w:val="18"/>
              </w:rPr>
              <w:t>129</w:t>
            </w:r>
          </w:p>
        </w:tc>
        <w:tc>
          <w:tcPr>
            <w:tcW w:w="2161" w:type="dxa"/>
            <w:vAlign w:val="center"/>
          </w:tcPr>
          <w:p w14:paraId="2885BD51" w14:textId="39F82994" w:rsidR="007C0855" w:rsidRPr="002D3643" w:rsidRDefault="0029551B" w:rsidP="00C51296">
            <w:pPr>
              <w:spacing w:after="201" w:line="239" w:lineRule="auto"/>
              <w:ind w:right="-13" w:firstLine="0"/>
              <w:jc w:val="center"/>
              <w:rPr>
                <w:rFonts w:eastAsia="Times New Roman"/>
                <w:sz w:val="18"/>
                <w:szCs w:val="18"/>
              </w:rPr>
            </w:pPr>
            <w:r>
              <w:rPr>
                <w:rFonts w:hint="eastAsia"/>
                <w:sz w:val="18"/>
                <w:szCs w:val="18"/>
              </w:rPr>
              <w:t>110</w:t>
            </w:r>
          </w:p>
        </w:tc>
      </w:tr>
      <w:tr w:rsidR="007C0855" w:rsidRPr="002D3643" w14:paraId="088BB700" w14:textId="77777777" w:rsidTr="007C0855">
        <w:trPr>
          <w:trHeight w:val="151"/>
          <w:jc w:val="center"/>
        </w:trPr>
        <w:tc>
          <w:tcPr>
            <w:tcW w:w="2547" w:type="dxa"/>
            <w:vAlign w:val="center"/>
          </w:tcPr>
          <w:p w14:paraId="7E792019" w14:textId="77777777" w:rsidR="007C0855" w:rsidRPr="002D3643" w:rsidRDefault="007C0855" w:rsidP="00C51296">
            <w:pPr>
              <w:spacing w:after="201" w:line="239" w:lineRule="auto"/>
              <w:ind w:right="-13" w:firstLine="0"/>
              <w:jc w:val="center"/>
              <w:rPr>
                <w:rFonts w:eastAsia="Times New Roman"/>
                <w:sz w:val="18"/>
                <w:szCs w:val="18"/>
              </w:rPr>
            </w:pPr>
            <w:r>
              <w:rPr>
                <w:rFonts w:hint="eastAsia"/>
                <w:sz w:val="18"/>
                <w:szCs w:val="18"/>
              </w:rPr>
              <w:t>净利润</w:t>
            </w:r>
          </w:p>
        </w:tc>
        <w:tc>
          <w:tcPr>
            <w:tcW w:w="1773" w:type="dxa"/>
            <w:vAlign w:val="center"/>
          </w:tcPr>
          <w:p w14:paraId="07D14EBB" w14:textId="740C7363" w:rsidR="007C0855" w:rsidRPr="002D3643" w:rsidRDefault="0039235F" w:rsidP="00C51296">
            <w:pPr>
              <w:spacing w:after="201" w:line="239" w:lineRule="auto"/>
              <w:ind w:right="-13" w:firstLine="0"/>
              <w:jc w:val="center"/>
              <w:rPr>
                <w:rFonts w:eastAsia="Times New Roman"/>
                <w:sz w:val="18"/>
                <w:szCs w:val="18"/>
              </w:rPr>
            </w:pPr>
            <w:r>
              <w:rPr>
                <w:rFonts w:hint="eastAsia"/>
                <w:sz w:val="18"/>
                <w:szCs w:val="18"/>
              </w:rPr>
              <w:t>63</w:t>
            </w:r>
          </w:p>
        </w:tc>
        <w:tc>
          <w:tcPr>
            <w:tcW w:w="2161" w:type="dxa"/>
            <w:vAlign w:val="center"/>
          </w:tcPr>
          <w:p w14:paraId="03C601ED" w14:textId="7D6CBF3B" w:rsidR="007C0855" w:rsidRPr="002D3643" w:rsidRDefault="0029551B" w:rsidP="00C51296">
            <w:pPr>
              <w:spacing w:after="201" w:line="239" w:lineRule="auto"/>
              <w:ind w:right="-13" w:firstLine="0"/>
              <w:jc w:val="center"/>
              <w:rPr>
                <w:rFonts w:eastAsia="Times New Roman"/>
                <w:sz w:val="18"/>
                <w:szCs w:val="18"/>
              </w:rPr>
            </w:pPr>
            <w:r>
              <w:rPr>
                <w:rFonts w:hint="eastAsia"/>
                <w:sz w:val="18"/>
                <w:szCs w:val="18"/>
              </w:rPr>
              <w:t>41</w:t>
            </w:r>
          </w:p>
        </w:tc>
      </w:tr>
      <w:tr w:rsidR="002848FA" w:rsidRPr="002D3643" w14:paraId="647C3AFD" w14:textId="77777777" w:rsidTr="007C0855">
        <w:trPr>
          <w:trHeight w:val="151"/>
          <w:jc w:val="center"/>
        </w:trPr>
        <w:tc>
          <w:tcPr>
            <w:tcW w:w="2547" w:type="dxa"/>
            <w:vAlign w:val="center"/>
          </w:tcPr>
          <w:p w14:paraId="3EBC9E16" w14:textId="60597A40" w:rsidR="002848FA" w:rsidRPr="002D3643" w:rsidRDefault="002848FA" w:rsidP="00C51296">
            <w:pPr>
              <w:spacing w:after="201" w:line="239" w:lineRule="auto"/>
              <w:ind w:right="-13" w:firstLine="0"/>
              <w:jc w:val="center"/>
              <w:rPr>
                <w:rFonts w:eastAsia="Times New Roman"/>
                <w:sz w:val="18"/>
                <w:szCs w:val="18"/>
              </w:rPr>
            </w:pPr>
            <w:r>
              <w:rPr>
                <w:rFonts w:hint="eastAsia"/>
                <w:sz w:val="18"/>
                <w:szCs w:val="18"/>
              </w:rPr>
              <w:t>净负债</w:t>
            </w:r>
          </w:p>
        </w:tc>
        <w:tc>
          <w:tcPr>
            <w:tcW w:w="1773" w:type="dxa"/>
            <w:vAlign w:val="center"/>
          </w:tcPr>
          <w:p w14:paraId="650994D2" w14:textId="7F6A7D38" w:rsidR="002848FA" w:rsidRPr="002D3643" w:rsidRDefault="002848FA" w:rsidP="00C51296">
            <w:pPr>
              <w:spacing w:after="201" w:line="239" w:lineRule="auto"/>
              <w:ind w:right="-13" w:firstLine="0"/>
              <w:jc w:val="center"/>
              <w:rPr>
                <w:rFonts w:eastAsia="Times New Roman"/>
                <w:sz w:val="18"/>
                <w:szCs w:val="18"/>
              </w:rPr>
            </w:pPr>
            <w:r>
              <w:rPr>
                <w:rFonts w:hint="eastAsia"/>
                <w:sz w:val="18"/>
                <w:szCs w:val="18"/>
              </w:rPr>
              <w:t>2100</w:t>
            </w:r>
          </w:p>
        </w:tc>
        <w:tc>
          <w:tcPr>
            <w:tcW w:w="2161" w:type="dxa"/>
            <w:vAlign w:val="center"/>
          </w:tcPr>
          <w:p w14:paraId="3B9F2C88" w14:textId="58451A21" w:rsidR="002848FA" w:rsidRPr="002D3643" w:rsidRDefault="002848FA" w:rsidP="00C51296">
            <w:pPr>
              <w:spacing w:after="201" w:line="239" w:lineRule="auto"/>
              <w:ind w:right="-13" w:firstLine="0"/>
              <w:jc w:val="center"/>
              <w:rPr>
                <w:rFonts w:eastAsia="Times New Roman"/>
                <w:sz w:val="18"/>
                <w:szCs w:val="18"/>
              </w:rPr>
            </w:pPr>
            <w:r>
              <w:rPr>
                <w:rFonts w:hint="eastAsia"/>
                <w:sz w:val="18"/>
                <w:szCs w:val="18"/>
              </w:rPr>
              <w:t>2379</w:t>
            </w:r>
          </w:p>
        </w:tc>
      </w:tr>
      <w:tr w:rsidR="002848FA" w:rsidRPr="002D3643" w14:paraId="419BF707" w14:textId="77777777" w:rsidTr="007C0855">
        <w:trPr>
          <w:trHeight w:val="151"/>
          <w:jc w:val="center"/>
        </w:trPr>
        <w:tc>
          <w:tcPr>
            <w:tcW w:w="2547" w:type="dxa"/>
            <w:vAlign w:val="center"/>
          </w:tcPr>
          <w:p w14:paraId="5EC1D2BB" w14:textId="7C4F0C95" w:rsidR="002848FA" w:rsidRPr="002D3643" w:rsidRDefault="002848FA" w:rsidP="00C51296">
            <w:pPr>
              <w:spacing w:after="201" w:line="239" w:lineRule="auto"/>
              <w:ind w:right="-13" w:firstLine="0"/>
              <w:jc w:val="center"/>
              <w:rPr>
                <w:rFonts w:eastAsia="Times New Roman"/>
                <w:sz w:val="18"/>
                <w:szCs w:val="18"/>
              </w:rPr>
            </w:pPr>
            <w:r>
              <w:rPr>
                <w:rFonts w:hint="eastAsia"/>
                <w:sz w:val="18"/>
                <w:szCs w:val="18"/>
              </w:rPr>
              <w:t>经营租赁</w:t>
            </w:r>
          </w:p>
        </w:tc>
        <w:tc>
          <w:tcPr>
            <w:tcW w:w="1773" w:type="dxa"/>
            <w:vAlign w:val="center"/>
          </w:tcPr>
          <w:p w14:paraId="4CBE2F77" w14:textId="0FD4242A" w:rsidR="002848FA" w:rsidRPr="002D3643" w:rsidRDefault="002848FA" w:rsidP="00C51296">
            <w:pPr>
              <w:spacing w:after="201" w:line="239" w:lineRule="auto"/>
              <w:ind w:right="-13" w:firstLine="0"/>
              <w:jc w:val="center"/>
              <w:rPr>
                <w:rFonts w:eastAsia="Times New Roman"/>
                <w:i/>
                <w:sz w:val="18"/>
                <w:szCs w:val="18"/>
              </w:rPr>
            </w:pPr>
            <w:r>
              <w:rPr>
                <w:rFonts w:hint="eastAsia"/>
                <w:i/>
                <w:sz w:val="18"/>
                <w:szCs w:val="18"/>
              </w:rPr>
              <w:t>不适用</w:t>
            </w:r>
          </w:p>
        </w:tc>
        <w:tc>
          <w:tcPr>
            <w:tcW w:w="2161" w:type="dxa"/>
            <w:vAlign w:val="center"/>
          </w:tcPr>
          <w:p w14:paraId="372FD8C6" w14:textId="1E8F2EFF" w:rsidR="002848FA" w:rsidRPr="002D3643" w:rsidRDefault="002848FA" w:rsidP="00C51296">
            <w:pPr>
              <w:spacing w:after="201" w:line="239" w:lineRule="auto"/>
              <w:ind w:right="-13" w:firstLine="0"/>
              <w:jc w:val="center"/>
              <w:rPr>
                <w:rFonts w:eastAsia="Times New Roman"/>
                <w:sz w:val="18"/>
                <w:szCs w:val="18"/>
              </w:rPr>
            </w:pPr>
            <w:r>
              <w:rPr>
                <w:rFonts w:hint="eastAsia"/>
                <w:sz w:val="18"/>
                <w:szCs w:val="18"/>
              </w:rPr>
              <w:t>408</w:t>
            </w:r>
          </w:p>
        </w:tc>
      </w:tr>
    </w:tbl>
    <w:p w14:paraId="72F82C26" w14:textId="3E9F14CB" w:rsidR="00366AB5" w:rsidRPr="002D3643" w:rsidRDefault="007F5337" w:rsidP="00F20594">
      <w:pPr>
        <w:ind w:left="708" w:firstLine="0"/>
        <w:jc w:val="left"/>
        <w:rPr>
          <w:b/>
          <w:i/>
          <w:sz w:val="18"/>
          <w:szCs w:val="18"/>
        </w:rPr>
      </w:pPr>
      <w:r>
        <w:rPr>
          <w:rFonts w:hint="eastAsia"/>
          <w:sz w:val="18"/>
          <w:szCs w:val="18"/>
        </w:rPr>
        <w:t xml:space="preserve"> </w:t>
      </w:r>
      <w:r w:rsidR="00255C2C">
        <w:rPr>
          <w:rFonts w:hint="eastAsia"/>
          <w:i/>
          <w:sz w:val="18"/>
          <w:szCs w:val="18"/>
        </w:rPr>
        <w:t>备注：自</w:t>
      </w:r>
      <w:r w:rsidR="00255C2C">
        <w:rPr>
          <w:rFonts w:hint="eastAsia"/>
          <w:i/>
          <w:sz w:val="18"/>
          <w:szCs w:val="18"/>
        </w:rPr>
        <w:t>2019</w:t>
      </w:r>
      <w:r w:rsidR="00255C2C">
        <w:rPr>
          <w:rFonts w:hint="eastAsia"/>
          <w:i/>
          <w:sz w:val="18"/>
          <w:szCs w:val="18"/>
        </w:rPr>
        <w:t>年</w:t>
      </w:r>
      <w:r w:rsidR="00255C2C">
        <w:rPr>
          <w:rFonts w:hint="eastAsia"/>
          <w:i/>
          <w:sz w:val="18"/>
          <w:szCs w:val="18"/>
        </w:rPr>
        <w:t>1</w:t>
      </w:r>
      <w:r w:rsidR="00255C2C">
        <w:rPr>
          <w:rFonts w:hint="eastAsia"/>
          <w:i/>
          <w:sz w:val="18"/>
          <w:szCs w:val="18"/>
        </w:rPr>
        <w:t>月</w:t>
      </w:r>
      <w:r w:rsidR="00255C2C">
        <w:rPr>
          <w:rFonts w:hint="eastAsia"/>
          <w:i/>
          <w:sz w:val="18"/>
          <w:szCs w:val="18"/>
        </w:rPr>
        <w:t>1</w:t>
      </w:r>
      <w:r w:rsidR="00255C2C">
        <w:rPr>
          <w:rFonts w:hint="eastAsia"/>
          <w:i/>
          <w:sz w:val="18"/>
          <w:szCs w:val="18"/>
        </w:rPr>
        <w:t>日起包含《国际财务报告准则第</w:t>
      </w:r>
      <w:r w:rsidR="00255C2C">
        <w:rPr>
          <w:rFonts w:hint="eastAsia"/>
          <w:i/>
          <w:sz w:val="18"/>
          <w:szCs w:val="18"/>
        </w:rPr>
        <w:t>16</w:t>
      </w:r>
      <w:r w:rsidR="00255C2C">
        <w:rPr>
          <w:rFonts w:hint="eastAsia"/>
          <w:i/>
          <w:sz w:val="18"/>
          <w:szCs w:val="18"/>
        </w:rPr>
        <w:t>号》规定的经营租赁调整</w:t>
      </w:r>
    </w:p>
    <w:p w14:paraId="0AC6C103" w14:textId="177F2EE2" w:rsidR="0029551B" w:rsidRPr="0029551B" w:rsidRDefault="003E16BA" w:rsidP="0029551B">
      <w:r>
        <w:rPr>
          <w:rFonts w:hint="eastAsia"/>
        </w:rPr>
        <w:t>尽管海斯坦普所在各地的基础汽车生产市场都在下滑，</w:t>
      </w:r>
      <w:r>
        <w:rPr>
          <w:rFonts w:hint="eastAsia"/>
        </w:rPr>
        <w:t>2019</w:t>
      </w:r>
      <w:r>
        <w:rPr>
          <w:rFonts w:hint="eastAsia"/>
        </w:rPr>
        <w:t>年第一季度海斯坦普各地（除了西欧之外）的收入却都增长了。北美、东欧和南美共同市场经历了稳健的增长，亚洲的温和增长和西欧的下滑与汽车生产市场一致。</w:t>
      </w:r>
      <w:r>
        <w:rPr>
          <w:rFonts w:hint="eastAsia"/>
        </w:rPr>
        <w:t xml:space="preserve"> </w:t>
      </w:r>
    </w:p>
    <w:p w14:paraId="2BF3943A" w14:textId="2EC80A43" w:rsidR="00C40215" w:rsidRPr="00C40215" w:rsidRDefault="006D6380" w:rsidP="002D3643">
      <w:r>
        <w:rPr>
          <w:rFonts w:hint="eastAsia"/>
        </w:rPr>
        <w:t xml:space="preserve"> </w:t>
      </w:r>
      <w:r>
        <w:rPr>
          <w:rFonts w:hint="eastAsia"/>
        </w:rPr>
        <w:t>海斯坦普首席执行官</w:t>
      </w:r>
      <w:r>
        <w:rPr>
          <w:rFonts w:hint="eastAsia"/>
        </w:rPr>
        <w:t>Francisco L</w:t>
      </w:r>
      <w:r>
        <w:rPr>
          <w:rFonts w:hint="eastAsia"/>
        </w:rPr>
        <w:t>ó</w:t>
      </w:r>
      <w:r>
        <w:rPr>
          <w:rFonts w:hint="eastAsia"/>
        </w:rPr>
        <w:t>pez Peña</w:t>
      </w:r>
      <w:r>
        <w:rPr>
          <w:rFonts w:hint="eastAsia"/>
        </w:rPr>
        <w:t>解释道：“海斯坦普的收入增长表现良好，原因是新项目的增加使得公司在汽车生产市场的表现超出预期，不过仍充满挑战。”</w:t>
      </w:r>
      <w:r>
        <w:rPr>
          <w:rFonts w:hint="eastAsia"/>
        </w:rPr>
        <w:t xml:space="preserve"> </w:t>
      </w:r>
    </w:p>
    <w:p w14:paraId="713797C1" w14:textId="20DB4E36" w:rsidR="002A1837" w:rsidRDefault="003C4B6D" w:rsidP="003C4B6D">
      <w:pPr>
        <w:rPr>
          <w:color w:val="auto"/>
        </w:rPr>
      </w:pPr>
      <w:r>
        <w:rPr>
          <w:rFonts w:hint="eastAsia"/>
        </w:rPr>
        <w:t>海斯坦普近期分别与当地供应商</w:t>
      </w:r>
      <w:r>
        <w:rPr>
          <w:rFonts w:hint="eastAsia"/>
        </w:rPr>
        <w:t>BHAP</w:t>
      </w:r>
      <w:r>
        <w:rPr>
          <w:rFonts w:hint="eastAsia"/>
        </w:rPr>
        <w:t>和五菱签署了两份谅解备忘录，从而加强了与中国本土原始设备制造商的合作。公司还在</w:t>
      </w:r>
      <w:r>
        <w:rPr>
          <w:rFonts w:hint="eastAsia"/>
        </w:rPr>
        <w:t>2019</w:t>
      </w:r>
      <w:r>
        <w:rPr>
          <w:rFonts w:hint="eastAsia"/>
        </w:rPr>
        <w:t>年的上海汽车展上展示了其轻量化能力，</w:t>
      </w:r>
      <w:r>
        <w:rPr>
          <w:rFonts w:hint="eastAsia"/>
          <w:color w:val="auto"/>
        </w:rPr>
        <w:t>重点关注电动汽车领域</w:t>
      </w:r>
      <w:r>
        <w:rPr>
          <w:rFonts w:hint="eastAsia"/>
        </w:rPr>
        <w:t>。</w:t>
      </w:r>
      <w:r>
        <w:rPr>
          <w:rFonts w:hint="eastAsia"/>
          <w:color w:val="auto"/>
        </w:rPr>
        <w:t xml:space="preserve"> </w:t>
      </w:r>
    </w:p>
    <w:p w14:paraId="2CA6A2D1" w14:textId="24C53E92" w:rsidR="00882BF5" w:rsidRPr="00C40215" w:rsidRDefault="003C4B6D" w:rsidP="00C40215">
      <w:pPr>
        <w:rPr>
          <w:color w:val="auto"/>
        </w:rPr>
      </w:pPr>
      <w:r>
        <w:rPr>
          <w:rFonts w:hint="eastAsia"/>
          <w:color w:val="auto"/>
        </w:rPr>
        <w:lastRenderedPageBreak/>
        <w:t>此外，随着圣路易斯波托西新工厂的落成，海斯坦普继续扩展全球布局，目前正在建设另外三家工厂，预计将于</w:t>
      </w:r>
      <w:r>
        <w:rPr>
          <w:rFonts w:hint="eastAsia"/>
          <w:color w:val="auto"/>
        </w:rPr>
        <w:t>2019</w:t>
      </w:r>
      <w:r>
        <w:rPr>
          <w:rFonts w:hint="eastAsia"/>
          <w:color w:val="auto"/>
        </w:rPr>
        <w:t>年完工。</w:t>
      </w:r>
      <w:r>
        <w:rPr>
          <w:rFonts w:hint="eastAsia"/>
          <w:color w:val="auto"/>
        </w:rPr>
        <w:t xml:space="preserve"> </w:t>
      </w:r>
    </w:p>
    <w:p w14:paraId="74B1ABC0" w14:textId="31379530" w:rsidR="009C3976" w:rsidRPr="009C3976" w:rsidRDefault="009C3976" w:rsidP="009C3976">
      <w:pPr>
        <w:spacing w:after="201" w:line="239" w:lineRule="auto"/>
        <w:ind w:right="-13" w:firstLine="0"/>
        <w:rPr>
          <w:b/>
          <w:color w:val="auto"/>
        </w:rPr>
      </w:pPr>
      <w:r>
        <w:rPr>
          <w:rFonts w:hint="eastAsia"/>
          <w:b/>
          <w:color w:val="auto"/>
        </w:rPr>
        <w:t>年度股东大会</w:t>
      </w:r>
      <w:r>
        <w:rPr>
          <w:rFonts w:hint="eastAsia"/>
          <w:b/>
          <w:color w:val="auto"/>
        </w:rPr>
        <w:t xml:space="preserve"> </w:t>
      </w:r>
    </w:p>
    <w:p w14:paraId="0C081C7E" w14:textId="4447883A" w:rsidR="00A71158" w:rsidRDefault="00E06500" w:rsidP="00A71158">
      <w:pPr>
        <w:spacing w:after="201" w:line="239" w:lineRule="auto"/>
        <w:ind w:right="-13" w:firstLine="0"/>
      </w:pPr>
      <w:r>
        <w:rPr>
          <w:rFonts w:hint="eastAsia"/>
          <w:color w:val="auto"/>
        </w:rPr>
        <w:t>海斯坦普在毕尔巴鄂年度股东大会召开当日公布了</w:t>
      </w:r>
      <w:r>
        <w:rPr>
          <w:rFonts w:hint="eastAsia"/>
          <w:color w:val="auto"/>
        </w:rPr>
        <w:t>2019</w:t>
      </w:r>
      <w:r>
        <w:rPr>
          <w:rFonts w:hint="eastAsia"/>
          <w:color w:val="auto"/>
        </w:rPr>
        <w:t>年第一季度的财务业绩。</w:t>
      </w:r>
      <w:r>
        <w:rPr>
          <w:rFonts w:hint="eastAsia"/>
        </w:rPr>
        <w:t>截至</w:t>
      </w:r>
      <w:r>
        <w:rPr>
          <w:rFonts w:hint="eastAsia"/>
        </w:rPr>
        <w:t>2018</w:t>
      </w:r>
      <w:r>
        <w:rPr>
          <w:rFonts w:hint="eastAsia"/>
        </w:rPr>
        <w:t>年</w:t>
      </w:r>
      <w:r>
        <w:rPr>
          <w:rFonts w:hint="eastAsia"/>
        </w:rPr>
        <w:t>12</w:t>
      </w:r>
      <w:r>
        <w:rPr>
          <w:rFonts w:hint="eastAsia"/>
        </w:rPr>
        <w:t>月，归属于母公司股东的年度净利润为</w:t>
      </w:r>
      <w:r>
        <w:rPr>
          <w:rFonts w:hint="eastAsia"/>
        </w:rPr>
        <w:t>2.58</w:t>
      </w:r>
      <w:r>
        <w:rPr>
          <w:rFonts w:hint="eastAsia"/>
        </w:rPr>
        <w:t>亿欧元。</w:t>
      </w:r>
      <w:r>
        <w:rPr>
          <w:rFonts w:hint="eastAsia"/>
        </w:rPr>
        <w:t xml:space="preserve"> </w:t>
      </w:r>
    </w:p>
    <w:p w14:paraId="3EE31383" w14:textId="2B4442D0" w:rsidR="00020196" w:rsidRPr="00E54CF4" w:rsidRDefault="00020196" w:rsidP="00A516C4">
      <w:pPr>
        <w:spacing w:after="201" w:line="239" w:lineRule="auto"/>
        <w:ind w:right="-13"/>
      </w:pPr>
      <w:r>
        <w:rPr>
          <w:rFonts w:hint="eastAsia"/>
        </w:rPr>
        <w:t>根据海斯坦普的股息政策，公司将分配相当于该年度合并净利润</w:t>
      </w:r>
      <w:r>
        <w:rPr>
          <w:rFonts w:hint="eastAsia"/>
        </w:rPr>
        <w:t>30%</w:t>
      </w:r>
      <w:r>
        <w:rPr>
          <w:rFonts w:hint="eastAsia"/>
        </w:rPr>
        <w:t>的股息，分两期支付。</w:t>
      </w:r>
      <w:r>
        <w:rPr>
          <w:rFonts w:hint="eastAsia"/>
        </w:rPr>
        <w:t>2019</w:t>
      </w:r>
      <w:r>
        <w:rPr>
          <w:rFonts w:hint="eastAsia"/>
        </w:rPr>
        <w:t>年</w:t>
      </w:r>
      <w:r>
        <w:rPr>
          <w:rFonts w:hint="eastAsia"/>
        </w:rPr>
        <w:t>1</w:t>
      </w:r>
      <w:r>
        <w:rPr>
          <w:rFonts w:hint="eastAsia"/>
        </w:rPr>
        <w:t>月</w:t>
      </w:r>
      <w:r>
        <w:rPr>
          <w:rFonts w:hint="eastAsia"/>
        </w:rPr>
        <w:t>14</w:t>
      </w:r>
      <w:r>
        <w:rPr>
          <w:rFonts w:hint="eastAsia"/>
        </w:rPr>
        <w:t>日，海斯坦普支付了每股</w:t>
      </w:r>
      <w:r>
        <w:rPr>
          <w:rFonts w:hint="eastAsia"/>
        </w:rPr>
        <w:t>0.065</w:t>
      </w:r>
      <w:r>
        <w:rPr>
          <w:rFonts w:hint="eastAsia"/>
        </w:rPr>
        <w:t>欧元的中期股息。今天召开的股东大会批准了每股</w:t>
      </w:r>
      <w:r>
        <w:rPr>
          <w:rFonts w:hint="eastAsia"/>
        </w:rPr>
        <w:t>0.07</w:t>
      </w:r>
      <w:r>
        <w:rPr>
          <w:rFonts w:hint="eastAsia"/>
        </w:rPr>
        <w:t>欧元的补充股息，将于</w:t>
      </w:r>
      <w:r>
        <w:rPr>
          <w:rFonts w:hint="eastAsia"/>
        </w:rPr>
        <w:t>2019</w:t>
      </w:r>
      <w:r>
        <w:rPr>
          <w:rFonts w:hint="eastAsia"/>
        </w:rPr>
        <w:t>年</w:t>
      </w:r>
      <w:r>
        <w:rPr>
          <w:rFonts w:hint="eastAsia"/>
        </w:rPr>
        <w:t>7</w:t>
      </w:r>
      <w:r>
        <w:rPr>
          <w:rFonts w:hint="eastAsia"/>
        </w:rPr>
        <w:t>月</w:t>
      </w:r>
      <w:r>
        <w:rPr>
          <w:rFonts w:hint="eastAsia"/>
        </w:rPr>
        <w:t>5</w:t>
      </w:r>
      <w:r>
        <w:rPr>
          <w:rFonts w:hint="eastAsia"/>
        </w:rPr>
        <w:t>日支付。</w:t>
      </w:r>
      <w:r w:rsidR="007F5337">
        <w:rPr>
          <w:rFonts w:hint="eastAsia"/>
        </w:rPr>
        <w:t xml:space="preserve"> </w:t>
      </w:r>
    </w:p>
    <w:p w14:paraId="19A517A7" w14:textId="194A5BCD" w:rsidR="00676E7E" w:rsidRPr="00C40215" w:rsidRDefault="009C3976" w:rsidP="00676E7E">
      <w:pPr>
        <w:spacing w:after="201" w:line="239" w:lineRule="auto"/>
        <w:ind w:right="-13"/>
      </w:pPr>
      <w:r>
        <w:rPr>
          <w:rFonts w:hint="eastAsia"/>
        </w:rPr>
        <w:t>海斯坦普的执行主席</w:t>
      </w:r>
      <w:r>
        <w:rPr>
          <w:rFonts w:hint="eastAsia"/>
        </w:rPr>
        <w:t>Francisco Riberas</w:t>
      </w:r>
      <w:r>
        <w:rPr>
          <w:rFonts w:hint="eastAsia"/>
        </w:rPr>
        <w:t>在年度股东大会上回顾了公司</w:t>
      </w:r>
      <w:r>
        <w:rPr>
          <w:rFonts w:hint="eastAsia"/>
        </w:rPr>
        <w:t>2018</w:t>
      </w:r>
      <w:r>
        <w:rPr>
          <w:rFonts w:hint="eastAsia"/>
        </w:rPr>
        <w:t>年的主要业绩，强调“海斯坦普的表现优于市场的原因是公司制造的产品的外包不断增加”。</w:t>
      </w:r>
      <w:r>
        <w:rPr>
          <w:rFonts w:hint="eastAsia"/>
        </w:rPr>
        <w:t xml:space="preserve"> </w:t>
      </w:r>
    </w:p>
    <w:p w14:paraId="1995DB93" w14:textId="54B0751A" w:rsidR="00E06500" w:rsidRPr="005117DD" w:rsidRDefault="0078731E" w:rsidP="00676E7E">
      <w:pPr>
        <w:spacing w:after="201" w:line="239" w:lineRule="auto"/>
        <w:ind w:right="-13"/>
      </w:pPr>
      <w:r>
        <w:rPr>
          <w:rFonts w:hint="eastAsia"/>
        </w:rPr>
        <w:t>Riberas</w:t>
      </w:r>
      <w:r>
        <w:rPr>
          <w:rFonts w:hint="eastAsia"/>
        </w:rPr>
        <w:t>还解释道，海斯坦普的未来战略还将受制于亚洲市场的增长，“特别是在中国，海斯坦普的增长潜力很大”。</w:t>
      </w:r>
      <w:r>
        <w:rPr>
          <w:rFonts w:hint="eastAsia"/>
        </w:rPr>
        <w:t>Riberas</w:t>
      </w:r>
      <w:r>
        <w:rPr>
          <w:rFonts w:hint="eastAsia"/>
        </w:rPr>
        <w:t>总结道：“电动化等主要趋势将使海斯坦普受益，因为电动汽车电池的额外重量使轻量化变得更加重要了”。</w:t>
      </w:r>
      <w:r>
        <w:rPr>
          <w:rFonts w:hint="eastAsia"/>
        </w:rPr>
        <w:t xml:space="preserve"> </w:t>
      </w:r>
      <w:bookmarkStart w:id="0" w:name="_GoBack"/>
      <w:bookmarkEnd w:id="0"/>
    </w:p>
    <w:p w14:paraId="35385806" w14:textId="77777777" w:rsidR="00676E7E" w:rsidRPr="00676E7E" w:rsidRDefault="00676E7E" w:rsidP="00676E7E">
      <w:pPr>
        <w:spacing w:after="201" w:line="228" w:lineRule="auto"/>
        <w:ind w:firstLine="0"/>
        <w:rPr>
          <w:b/>
        </w:rPr>
      </w:pPr>
      <w:r>
        <w:rPr>
          <w:rFonts w:hint="eastAsia"/>
          <w:b/>
        </w:rPr>
        <w:t>关于海斯坦普</w:t>
      </w:r>
    </w:p>
    <w:p w14:paraId="4D95C069" w14:textId="77777777" w:rsidR="00676E7E" w:rsidRPr="00F94593" w:rsidRDefault="00676E7E" w:rsidP="00676E7E">
      <w:pPr>
        <w:spacing w:after="201" w:line="239" w:lineRule="auto"/>
        <w:ind w:right="-13" w:firstLine="0"/>
        <w:rPr>
          <w:color w:val="auto"/>
        </w:rPr>
      </w:pPr>
      <w:r>
        <w:rPr>
          <w:rFonts w:hint="eastAsia"/>
          <w:color w:val="auto"/>
        </w:rPr>
        <w:t>海斯坦普是一家西班牙跨国公司，专门为各大汽车制造商设计、开发和制造高端的汽车零部件。公司采用创新技术开发产品，致力于打造更安全更轻量化的车辆，从而降低能耗并减少对环境的影响。其产品涵盖白车身、底盘和机构件领域。</w:t>
      </w:r>
      <w:r>
        <w:rPr>
          <w:rFonts w:hint="eastAsia"/>
          <w:color w:val="auto"/>
        </w:rPr>
        <w:t xml:space="preserve"> </w:t>
      </w:r>
    </w:p>
    <w:p w14:paraId="2AA43EE6" w14:textId="77777777" w:rsidR="002D3643" w:rsidRDefault="00676E7E" w:rsidP="002D3643">
      <w:pPr>
        <w:spacing w:after="201" w:line="228" w:lineRule="auto"/>
        <w:rPr>
          <w:color w:val="auto"/>
        </w:rPr>
      </w:pPr>
      <w:r>
        <w:rPr>
          <w:rFonts w:hint="eastAsia"/>
          <w:color w:val="auto"/>
        </w:rPr>
        <w:t>公司目前在</w:t>
      </w:r>
      <w:r>
        <w:rPr>
          <w:rFonts w:hint="eastAsia"/>
          <w:color w:val="auto"/>
        </w:rPr>
        <w:t>22</w:t>
      </w:r>
      <w:r>
        <w:rPr>
          <w:rFonts w:hint="eastAsia"/>
          <w:color w:val="auto"/>
        </w:rPr>
        <w:t>个国家共有</w:t>
      </w:r>
      <w:r>
        <w:rPr>
          <w:rFonts w:hint="eastAsia"/>
          <w:color w:val="auto"/>
        </w:rPr>
        <w:t>109</w:t>
      </w:r>
      <w:r>
        <w:rPr>
          <w:rFonts w:hint="eastAsia"/>
          <w:color w:val="auto"/>
        </w:rPr>
        <w:t>家生产工厂、</w:t>
      </w:r>
      <w:r>
        <w:rPr>
          <w:rFonts w:hint="eastAsia"/>
          <w:color w:val="auto"/>
        </w:rPr>
        <w:t>3</w:t>
      </w:r>
      <w:r>
        <w:rPr>
          <w:rFonts w:hint="eastAsia"/>
          <w:color w:val="auto"/>
        </w:rPr>
        <w:t>个在建工厂和</w:t>
      </w:r>
      <w:r>
        <w:rPr>
          <w:rFonts w:hint="eastAsia"/>
          <w:color w:val="auto"/>
        </w:rPr>
        <w:t>13</w:t>
      </w:r>
      <w:r>
        <w:rPr>
          <w:rFonts w:hint="eastAsia"/>
          <w:color w:val="auto"/>
        </w:rPr>
        <w:t>个研发中心，在全球拥有</w:t>
      </w:r>
      <w:r>
        <w:rPr>
          <w:rFonts w:hint="eastAsia"/>
          <w:color w:val="auto"/>
        </w:rPr>
        <w:t>43000</w:t>
      </w:r>
      <w:r>
        <w:rPr>
          <w:rFonts w:hint="eastAsia"/>
          <w:color w:val="auto"/>
        </w:rPr>
        <w:t>多名员工。其</w:t>
      </w:r>
      <w:r>
        <w:rPr>
          <w:rFonts w:hint="eastAsia"/>
          <w:color w:val="auto"/>
        </w:rPr>
        <w:t>2018</w:t>
      </w:r>
      <w:r>
        <w:rPr>
          <w:rFonts w:hint="eastAsia"/>
          <w:color w:val="auto"/>
        </w:rPr>
        <w:t>年的营业额为</w:t>
      </w:r>
      <w:r>
        <w:rPr>
          <w:rFonts w:hint="eastAsia"/>
          <w:color w:val="auto"/>
        </w:rPr>
        <w:t>85.48</w:t>
      </w:r>
      <w:r>
        <w:rPr>
          <w:rFonts w:hint="eastAsia"/>
          <w:color w:val="auto"/>
        </w:rPr>
        <w:t>亿欧元。海斯坦普已在西班牙证交所上市，股票代码：</w:t>
      </w:r>
      <w:r>
        <w:rPr>
          <w:rFonts w:hint="eastAsia"/>
          <w:color w:val="auto"/>
        </w:rPr>
        <w:t>GEST</w:t>
      </w:r>
      <w:r>
        <w:rPr>
          <w:rFonts w:hint="eastAsia"/>
          <w:color w:val="auto"/>
        </w:rPr>
        <w:t>。</w:t>
      </w:r>
    </w:p>
    <w:p w14:paraId="6CC70D8D" w14:textId="262D15A6" w:rsidR="00676E7E" w:rsidRPr="002D3643" w:rsidRDefault="00676E7E" w:rsidP="002D3643">
      <w:pPr>
        <w:spacing w:after="201" w:line="228" w:lineRule="auto"/>
        <w:ind w:firstLine="0"/>
        <w:rPr>
          <w:color w:val="auto"/>
        </w:rPr>
      </w:pPr>
      <w:r>
        <w:rPr>
          <w:rFonts w:hint="eastAsia"/>
          <w:b/>
          <w:color w:val="auto"/>
        </w:rPr>
        <w:t>更多信息，请通过以下方式联系：</w:t>
      </w:r>
    </w:p>
    <w:p w14:paraId="2B5FD269" w14:textId="77777777" w:rsidR="00676E7E" w:rsidRPr="00676E7E" w:rsidRDefault="00676E7E" w:rsidP="00676E7E">
      <w:pPr>
        <w:spacing w:after="0" w:line="240" w:lineRule="auto"/>
        <w:ind w:right="-11" w:firstLine="0"/>
        <w:jc w:val="left"/>
        <w:rPr>
          <w:color w:val="auto"/>
        </w:rPr>
      </w:pPr>
      <w:r>
        <w:rPr>
          <w:rFonts w:hint="eastAsia"/>
          <w:color w:val="auto"/>
        </w:rPr>
        <w:t>海斯坦普新闻发言人</w:t>
      </w:r>
      <w:r>
        <w:rPr>
          <w:rFonts w:hint="eastAsia"/>
          <w:color w:val="auto"/>
        </w:rPr>
        <w:t xml:space="preserve"> Gonzalo Prieto </w:t>
      </w:r>
    </w:p>
    <w:p w14:paraId="54ACCF54" w14:textId="6D5421B7" w:rsidR="007A5D90" w:rsidRDefault="0073523C" w:rsidP="00C40215">
      <w:pPr>
        <w:spacing w:after="0" w:line="240" w:lineRule="auto"/>
        <w:ind w:right="-11" w:firstLine="0"/>
        <w:jc w:val="left"/>
        <w:rPr>
          <w:color w:val="auto"/>
        </w:rPr>
      </w:pPr>
      <w:r>
        <w:rPr>
          <w:rFonts w:hint="eastAsia"/>
          <w:color w:val="auto"/>
        </w:rPr>
        <w:t>电子邮箱：</w:t>
      </w:r>
      <w:hyperlink r:id="rId8" w:history="1">
        <w:r>
          <w:rPr>
            <w:rStyle w:val="Hipervnculo"/>
            <w:rFonts w:hint="eastAsia"/>
          </w:rPr>
          <w:t>gprieto@gestamp.com</w:t>
        </w:r>
      </w:hyperlink>
      <w:r w:rsidR="007F5337">
        <w:rPr>
          <w:rFonts w:hint="eastAsia"/>
          <w:color w:val="auto"/>
        </w:rPr>
        <w:t xml:space="preserve"> </w:t>
      </w:r>
    </w:p>
    <w:p w14:paraId="0E70A322" w14:textId="3C76A05A" w:rsidR="000606A2" w:rsidRPr="002D3643" w:rsidRDefault="002D3643" w:rsidP="00C40215">
      <w:pPr>
        <w:spacing w:after="0" w:line="240" w:lineRule="auto"/>
        <w:ind w:right="-11" w:firstLine="0"/>
        <w:jc w:val="left"/>
        <w:rPr>
          <w:color w:val="auto"/>
        </w:rPr>
      </w:pPr>
      <w:r>
        <w:rPr>
          <w:rFonts w:hint="eastAsia"/>
          <w:color w:val="auto"/>
        </w:rPr>
        <w:t>电话：</w:t>
      </w:r>
      <w:r>
        <w:rPr>
          <w:rFonts w:hint="eastAsia"/>
          <w:color w:val="auto"/>
        </w:rPr>
        <w:t>+ 34 619 406 058</w:t>
      </w:r>
    </w:p>
    <w:sectPr w:rsidR="000606A2" w:rsidRPr="002D3643" w:rsidSect="00C575E1">
      <w:headerReference w:type="default" r:id="rId9"/>
      <w:footerReference w:type="default" r:id="rId10"/>
      <w:pgSz w:w="11906" w:h="16838"/>
      <w:pgMar w:top="1849" w:right="1552" w:bottom="1843" w:left="1702"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3BC6F" w14:textId="77777777" w:rsidR="00CB4510" w:rsidRDefault="00CB4510" w:rsidP="007A4EE7">
      <w:pPr>
        <w:spacing w:after="0" w:line="240" w:lineRule="auto"/>
      </w:pPr>
      <w:r>
        <w:separator/>
      </w:r>
    </w:p>
  </w:endnote>
  <w:endnote w:type="continuationSeparator" w:id="0">
    <w:p w14:paraId="6EA5C4DF" w14:textId="77777777" w:rsidR="00CB4510" w:rsidRDefault="00CB4510" w:rsidP="007A4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C9AD8" w14:textId="77777777" w:rsidR="006C1E30" w:rsidRDefault="006C1E30" w:rsidP="00820A56">
    <w:pPr>
      <w:pStyle w:val="Piedepgina"/>
      <w:ind w:left="-1701" w:firstLine="0"/>
      <w:jc w:val="left"/>
    </w:pPr>
    <w:r>
      <w:rPr>
        <w:rFonts w:hint="eastAsia"/>
        <w:noProof/>
      </w:rPr>
      <w:drawing>
        <wp:inline distT="0" distB="0" distL="0" distR="0" wp14:anchorId="5DAFE58E" wp14:editId="40066BC0">
          <wp:extent cx="7609840" cy="888342"/>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ress release footer.jpg"/>
                  <pic:cNvPicPr/>
                </pic:nvPicPr>
                <pic:blipFill>
                  <a:blip r:embed="rId1">
                    <a:extLst>
                      <a:ext uri="{28A0092B-C50C-407E-A947-70E740481C1C}">
                        <a14:useLocalDpi xmlns:a14="http://schemas.microsoft.com/office/drawing/2010/main" val="0"/>
                      </a:ext>
                    </a:extLst>
                  </a:blip>
                  <a:stretch>
                    <a:fillRect/>
                  </a:stretch>
                </pic:blipFill>
                <pic:spPr>
                  <a:xfrm>
                    <a:off x="0" y="0"/>
                    <a:ext cx="7646521" cy="892624"/>
                  </a:xfrm>
                  <a:prstGeom prst="rect">
                    <a:avLst/>
                  </a:prstGeom>
                </pic:spPr>
              </pic:pic>
            </a:graphicData>
          </a:graphic>
        </wp:inline>
      </w:drawing>
    </w:r>
  </w:p>
  <w:p w14:paraId="0C8D0466" w14:textId="77777777" w:rsidR="006C1E30" w:rsidRDefault="006C1E3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11627" w14:textId="77777777" w:rsidR="00CB4510" w:rsidRDefault="00CB4510" w:rsidP="007A4EE7">
      <w:pPr>
        <w:spacing w:after="0" w:line="240" w:lineRule="auto"/>
      </w:pPr>
      <w:r>
        <w:separator/>
      </w:r>
    </w:p>
  </w:footnote>
  <w:footnote w:type="continuationSeparator" w:id="0">
    <w:p w14:paraId="65647819" w14:textId="77777777" w:rsidR="00CB4510" w:rsidRDefault="00CB4510" w:rsidP="007A4E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0451B" w14:textId="77777777" w:rsidR="006C1E30" w:rsidRDefault="006C1E30" w:rsidP="00C575E1">
    <w:pPr>
      <w:pStyle w:val="Encabezado"/>
      <w:ind w:left="-1701" w:firstLine="0"/>
    </w:pPr>
    <w:r>
      <w:rPr>
        <w:rFonts w:hint="eastAsia"/>
        <w:noProof/>
      </w:rPr>
      <w:drawing>
        <wp:inline distT="0" distB="0" distL="0" distR="0" wp14:anchorId="6C43408A" wp14:editId="6B0FF17B">
          <wp:extent cx="7610186" cy="72390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ess release header.jpg"/>
                  <pic:cNvPicPr/>
                </pic:nvPicPr>
                <pic:blipFill>
                  <a:blip r:embed="rId1">
                    <a:extLst>
                      <a:ext uri="{28A0092B-C50C-407E-A947-70E740481C1C}">
                        <a14:useLocalDpi xmlns:a14="http://schemas.microsoft.com/office/drawing/2010/main" val="0"/>
                      </a:ext>
                    </a:extLst>
                  </a:blip>
                  <a:stretch>
                    <a:fillRect/>
                  </a:stretch>
                </pic:blipFill>
                <pic:spPr>
                  <a:xfrm>
                    <a:off x="0" y="0"/>
                    <a:ext cx="7621192" cy="72494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D33F0"/>
    <w:multiLevelType w:val="hybridMultilevel"/>
    <w:tmpl w:val="8990D5EE"/>
    <w:lvl w:ilvl="0" w:tplc="BCD23E00">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0DBC42C0">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3D02CC54">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35A2BFA">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8C72810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AAF4E0B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6FE62E18">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A2CACC60">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3325454">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7BC1510"/>
    <w:multiLevelType w:val="hybridMultilevel"/>
    <w:tmpl w:val="BAF6273A"/>
    <w:lvl w:ilvl="0" w:tplc="EE12E90A">
      <w:numFmt w:val="bullet"/>
      <w:lvlText w:val="-"/>
      <w:lvlJc w:val="left"/>
      <w:pPr>
        <w:ind w:left="720" w:hanging="360"/>
      </w:pPr>
      <w:rPr>
        <w:rFonts w:ascii="Calibri" w:eastAsia="Calibri"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 w15:restartNumberingAfterBreak="0">
    <w:nsid w:val="380B422B"/>
    <w:multiLevelType w:val="hybridMultilevel"/>
    <w:tmpl w:val="C9AA31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2B7C"/>
    <w:rsid w:val="0000179C"/>
    <w:rsid w:val="00007174"/>
    <w:rsid w:val="000105A9"/>
    <w:rsid w:val="00020196"/>
    <w:rsid w:val="00024B8F"/>
    <w:rsid w:val="0002696C"/>
    <w:rsid w:val="0002749F"/>
    <w:rsid w:val="00032B7C"/>
    <w:rsid w:val="0003503C"/>
    <w:rsid w:val="00036F35"/>
    <w:rsid w:val="000537B5"/>
    <w:rsid w:val="000606A2"/>
    <w:rsid w:val="00063689"/>
    <w:rsid w:val="00072CC9"/>
    <w:rsid w:val="00073EFC"/>
    <w:rsid w:val="0007565A"/>
    <w:rsid w:val="00094A21"/>
    <w:rsid w:val="00095E5C"/>
    <w:rsid w:val="000A17DF"/>
    <w:rsid w:val="000B0337"/>
    <w:rsid w:val="000B46AF"/>
    <w:rsid w:val="000B79B6"/>
    <w:rsid w:val="000D0183"/>
    <w:rsid w:val="000D02F4"/>
    <w:rsid w:val="000D0AAB"/>
    <w:rsid w:val="000D296C"/>
    <w:rsid w:val="000F00EC"/>
    <w:rsid w:val="00107FD5"/>
    <w:rsid w:val="001316E8"/>
    <w:rsid w:val="0013771E"/>
    <w:rsid w:val="00137877"/>
    <w:rsid w:val="001655A7"/>
    <w:rsid w:val="00165D69"/>
    <w:rsid w:val="00175622"/>
    <w:rsid w:val="001872EE"/>
    <w:rsid w:val="00187EEE"/>
    <w:rsid w:val="00192585"/>
    <w:rsid w:val="001963CE"/>
    <w:rsid w:val="00197204"/>
    <w:rsid w:val="001A135B"/>
    <w:rsid w:val="001A20EB"/>
    <w:rsid w:val="001B5620"/>
    <w:rsid w:val="001C3C65"/>
    <w:rsid w:val="001D2AF0"/>
    <w:rsid w:val="001E02A5"/>
    <w:rsid w:val="001E5029"/>
    <w:rsid w:val="001F5A1F"/>
    <w:rsid w:val="001F5D3D"/>
    <w:rsid w:val="001F75C0"/>
    <w:rsid w:val="00202735"/>
    <w:rsid w:val="0020551A"/>
    <w:rsid w:val="00206298"/>
    <w:rsid w:val="0021248A"/>
    <w:rsid w:val="00216426"/>
    <w:rsid w:val="00227866"/>
    <w:rsid w:val="0024137C"/>
    <w:rsid w:val="00247922"/>
    <w:rsid w:val="00247CA2"/>
    <w:rsid w:val="00255C2C"/>
    <w:rsid w:val="00260221"/>
    <w:rsid w:val="002634CC"/>
    <w:rsid w:val="0027093C"/>
    <w:rsid w:val="00270CDB"/>
    <w:rsid w:val="00271B32"/>
    <w:rsid w:val="00280F7E"/>
    <w:rsid w:val="00281541"/>
    <w:rsid w:val="002848FA"/>
    <w:rsid w:val="0029551B"/>
    <w:rsid w:val="00295AE5"/>
    <w:rsid w:val="0029617E"/>
    <w:rsid w:val="00297729"/>
    <w:rsid w:val="002A1837"/>
    <w:rsid w:val="002A6DEA"/>
    <w:rsid w:val="002C1FB5"/>
    <w:rsid w:val="002C68C7"/>
    <w:rsid w:val="002C7783"/>
    <w:rsid w:val="002D1B64"/>
    <w:rsid w:val="002D1EC5"/>
    <w:rsid w:val="002D20FA"/>
    <w:rsid w:val="002D23BB"/>
    <w:rsid w:val="002D3643"/>
    <w:rsid w:val="002D6F70"/>
    <w:rsid w:val="002F3443"/>
    <w:rsid w:val="00310DE6"/>
    <w:rsid w:val="003171DB"/>
    <w:rsid w:val="003201DA"/>
    <w:rsid w:val="00320F4C"/>
    <w:rsid w:val="003305BA"/>
    <w:rsid w:val="00335686"/>
    <w:rsid w:val="00354BB6"/>
    <w:rsid w:val="00356944"/>
    <w:rsid w:val="00361D4E"/>
    <w:rsid w:val="00363895"/>
    <w:rsid w:val="00366082"/>
    <w:rsid w:val="00366AB5"/>
    <w:rsid w:val="0037194D"/>
    <w:rsid w:val="00374E0B"/>
    <w:rsid w:val="003773D3"/>
    <w:rsid w:val="0038135F"/>
    <w:rsid w:val="0038524B"/>
    <w:rsid w:val="00391B9E"/>
    <w:rsid w:val="0039235F"/>
    <w:rsid w:val="003A315C"/>
    <w:rsid w:val="003A48A0"/>
    <w:rsid w:val="003B038B"/>
    <w:rsid w:val="003B1F54"/>
    <w:rsid w:val="003B47DD"/>
    <w:rsid w:val="003B4F94"/>
    <w:rsid w:val="003C120F"/>
    <w:rsid w:val="003C32A2"/>
    <w:rsid w:val="003C4B6D"/>
    <w:rsid w:val="003C5C9D"/>
    <w:rsid w:val="003D7000"/>
    <w:rsid w:val="003E16BA"/>
    <w:rsid w:val="003F1868"/>
    <w:rsid w:val="00400F99"/>
    <w:rsid w:val="00411CDC"/>
    <w:rsid w:val="00421C37"/>
    <w:rsid w:val="004246B7"/>
    <w:rsid w:val="00426DC2"/>
    <w:rsid w:val="004300AF"/>
    <w:rsid w:val="00430601"/>
    <w:rsid w:val="00431DB6"/>
    <w:rsid w:val="0044143D"/>
    <w:rsid w:val="00457339"/>
    <w:rsid w:val="00457F7C"/>
    <w:rsid w:val="00462358"/>
    <w:rsid w:val="004909BD"/>
    <w:rsid w:val="004A1C27"/>
    <w:rsid w:val="004A252C"/>
    <w:rsid w:val="004B17F3"/>
    <w:rsid w:val="004B3CB2"/>
    <w:rsid w:val="004B3DD8"/>
    <w:rsid w:val="004B3E88"/>
    <w:rsid w:val="004C09AF"/>
    <w:rsid w:val="004C2D13"/>
    <w:rsid w:val="004D0240"/>
    <w:rsid w:val="004D47DF"/>
    <w:rsid w:val="004D4E14"/>
    <w:rsid w:val="004E093D"/>
    <w:rsid w:val="004F5093"/>
    <w:rsid w:val="004F52B1"/>
    <w:rsid w:val="005034DE"/>
    <w:rsid w:val="00506E82"/>
    <w:rsid w:val="00515BFD"/>
    <w:rsid w:val="00517921"/>
    <w:rsid w:val="00521667"/>
    <w:rsid w:val="005244DB"/>
    <w:rsid w:val="00530F80"/>
    <w:rsid w:val="00531C92"/>
    <w:rsid w:val="0053509F"/>
    <w:rsid w:val="00537093"/>
    <w:rsid w:val="00551A30"/>
    <w:rsid w:val="00562310"/>
    <w:rsid w:val="00562D13"/>
    <w:rsid w:val="005911C2"/>
    <w:rsid w:val="005918C6"/>
    <w:rsid w:val="005954B7"/>
    <w:rsid w:val="005A1147"/>
    <w:rsid w:val="005B34E3"/>
    <w:rsid w:val="005B4403"/>
    <w:rsid w:val="005B45E1"/>
    <w:rsid w:val="005B7A2D"/>
    <w:rsid w:val="005C1577"/>
    <w:rsid w:val="005D04A9"/>
    <w:rsid w:val="005D67D5"/>
    <w:rsid w:val="005E0840"/>
    <w:rsid w:val="005F2775"/>
    <w:rsid w:val="00623D71"/>
    <w:rsid w:val="0063346E"/>
    <w:rsid w:val="006444A6"/>
    <w:rsid w:val="00647F3B"/>
    <w:rsid w:val="006526E3"/>
    <w:rsid w:val="0066482F"/>
    <w:rsid w:val="00665ED7"/>
    <w:rsid w:val="00675C9F"/>
    <w:rsid w:val="00675E8F"/>
    <w:rsid w:val="00676E7E"/>
    <w:rsid w:val="00685756"/>
    <w:rsid w:val="00690D6D"/>
    <w:rsid w:val="006A5B87"/>
    <w:rsid w:val="006B058C"/>
    <w:rsid w:val="006C1E30"/>
    <w:rsid w:val="006C4E1C"/>
    <w:rsid w:val="006C512C"/>
    <w:rsid w:val="006D0808"/>
    <w:rsid w:val="006D3F13"/>
    <w:rsid w:val="006D44CE"/>
    <w:rsid w:val="006D4E85"/>
    <w:rsid w:val="006D6380"/>
    <w:rsid w:val="006E2FC4"/>
    <w:rsid w:val="006E4DF9"/>
    <w:rsid w:val="00706F59"/>
    <w:rsid w:val="00707AF8"/>
    <w:rsid w:val="00720D28"/>
    <w:rsid w:val="007221EB"/>
    <w:rsid w:val="007330B3"/>
    <w:rsid w:val="0073523C"/>
    <w:rsid w:val="0073579F"/>
    <w:rsid w:val="00754A32"/>
    <w:rsid w:val="00756002"/>
    <w:rsid w:val="00762EA4"/>
    <w:rsid w:val="00765762"/>
    <w:rsid w:val="00775B38"/>
    <w:rsid w:val="00777DBD"/>
    <w:rsid w:val="0078731E"/>
    <w:rsid w:val="00790735"/>
    <w:rsid w:val="0079382A"/>
    <w:rsid w:val="007A334D"/>
    <w:rsid w:val="007A4672"/>
    <w:rsid w:val="007A4EE7"/>
    <w:rsid w:val="007A5D90"/>
    <w:rsid w:val="007B1C0D"/>
    <w:rsid w:val="007B5E43"/>
    <w:rsid w:val="007B6584"/>
    <w:rsid w:val="007B78AF"/>
    <w:rsid w:val="007C0855"/>
    <w:rsid w:val="007C63AB"/>
    <w:rsid w:val="007C7E55"/>
    <w:rsid w:val="007E0B58"/>
    <w:rsid w:val="007E4F1D"/>
    <w:rsid w:val="007E52DA"/>
    <w:rsid w:val="007F0613"/>
    <w:rsid w:val="007F5337"/>
    <w:rsid w:val="008019FE"/>
    <w:rsid w:val="00801EBD"/>
    <w:rsid w:val="0080628F"/>
    <w:rsid w:val="00814082"/>
    <w:rsid w:val="0081585C"/>
    <w:rsid w:val="008179D0"/>
    <w:rsid w:val="008206E8"/>
    <w:rsid w:val="00820A56"/>
    <w:rsid w:val="0082132A"/>
    <w:rsid w:val="0083162D"/>
    <w:rsid w:val="008407AE"/>
    <w:rsid w:val="00841125"/>
    <w:rsid w:val="0084115D"/>
    <w:rsid w:val="00845010"/>
    <w:rsid w:val="008475D0"/>
    <w:rsid w:val="00865CA0"/>
    <w:rsid w:val="008668A5"/>
    <w:rsid w:val="008717B4"/>
    <w:rsid w:val="008717E7"/>
    <w:rsid w:val="0087193B"/>
    <w:rsid w:val="00871CB1"/>
    <w:rsid w:val="00880839"/>
    <w:rsid w:val="00882BF5"/>
    <w:rsid w:val="00885223"/>
    <w:rsid w:val="00890F20"/>
    <w:rsid w:val="0089614D"/>
    <w:rsid w:val="008A089C"/>
    <w:rsid w:val="008A29DB"/>
    <w:rsid w:val="008A43E9"/>
    <w:rsid w:val="008A5EC6"/>
    <w:rsid w:val="008B01AA"/>
    <w:rsid w:val="008D6823"/>
    <w:rsid w:val="008E137D"/>
    <w:rsid w:val="008E1511"/>
    <w:rsid w:val="008E4804"/>
    <w:rsid w:val="008F1339"/>
    <w:rsid w:val="009069F0"/>
    <w:rsid w:val="0091268E"/>
    <w:rsid w:val="00923004"/>
    <w:rsid w:val="0092527B"/>
    <w:rsid w:val="009278A8"/>
    <w:rsid w:val="00935A5C"/>
    <w:rsid w:val="009403F3"/>
    <w:rsid w:val="00955711"/>
    <w:rsid w:val="0097097E"/>
    <w:rsid w:val="009740B7"/>
    <w:rsid w:val="00986DFE"/>
    <w:rsid w:val="00990467"/>
    <w:rsid w:val="009939DE"/>
    <w:rsid w:val="009A41F8"/>
    <w:rsid w:val="009C203E"/>
    <w:rsid w:val="009C3976"/>
    <w:rsid w:val="009C6E8D"/>
    <w:rsid w:val="009D3580"/>
    <w:rsid w:val="009D4536"/>
    <w:rsid w:val="009D6430"/>
    <w:rsid w:val="009D7D58"/>
    <w:rsid w:val="009E1EC8"/>
    <w:rsid w:val="009E608E"/>
    <w:rsid w:val="009F64EA"/>
    <w:rsid w:val="00A066FA"/>
    <w:rsid w:val="00A0702A"/>
    <w:rsid w:val="00A219C1"/>
    <w:rsid w:val="00A229FC"/>
    <w:rsid w:val="00A3277F"/>
    <w:rsid w:val="00A3286B"/>
    <w:rsid w:val="00A335F4"/>
    <w:rsid w:val="00A41C3B"/>
    <w:rsid w:val="00A516C4"/>
    <w:rsid w:val="00A53A73"/>
    <w:rsid w:val="00A543A6"/>
    <w:rsid w:val="00A63692"/>
    <w:rsid w:val="00A643DF"/>
    <w:rsid w:val="00A71158"/>
    <w:rsid w:val="00A7319F"/>
    <w:rsid w:val="00A73451"/>
    <w:rsid w:val="00A76E1D"/>
    <w:rsid w:val="00A8176A"/>
    <w:rsid w:val="00A87948"/>
    <w:rsid w:val="00A91470"/>
    <w:rsid w:val="00A91601"/>
    <w:rsid w:val="00A968CC"/>
    <w:rsid w:val="00AA31F9"/>
    <w:rsid w:val="00AC0FC8"/>
    <w:rsid w:val="00AC593D"/>
    <w:rsid w:val="00AD0520"/>
    <w:rsid w:val="00AD392B"/>
    <w:rsid w:val="00AD74AA"/>
    <w:rsid w:val="00AE1983"/>
    <w:rsid w:val="00AE3C4B"/>
    <w:rsid w:val="00AE40A1"/>
    <w:rsid w:val="00AF189C"/>
    <w:rsid w:val="00AF2454"/>
    <w:rsid w:val="00AF7351"/>
    <w:rsid w:val="00B060B0"/>
    <w:rsid w:val="00B20BFE"/>
    <w:rsid w:val="00B22D25"/>
    <w:rsid w:val="00B2443F"/>
    <w:rsid w:val="00B317F1"/>
    <w:rsid w:val="00B342EF"/>
    <w:rsid w:val="00B44CEF"/>
    <w:rsid w:val="00B516A4"/>
    <w:rsid w:val="00B55FB6"/>
    <w:rsid w:val="00B5693D"/>
    <w:rsid w:val="00B613C3"/>
    <w:rsid w:val="00B6210E"/>
    <w:rsid w:val="00B6224A"/>
    <w:rsid w:val="00B64249"/>
    <w:rsid w:val="00B83A30"/>
    <w:rsid w:val="00B84433"/>
    <w:rsid w:val="00B90EF9"/>
    <w:rsid w:val="00BA091E"/>
    <w:rsid w:val="00BB2EC1"/>
    <w:rsid w:val="00BB7095"/>
    <w:rsid w:val="00BC2C65"/>
    <w:rsid w:val="00BC32C9"/>
    <w:rsid w:val="00BC79CD"/>
    <w:rsid w:val="00BD5686"/>
    <w:rsid w:val="00BD6363"/>
    <w:rsid w:val="00BE15CE"/>
    <w:rsid w:val="00BE73C3"/>
    <w:rsid w:val="00BE7716"/>
    <w:rsid w:val="00BF7DEF"/>
    <w:rsid w:val="00C224ED"/>
    <w:rsid w:val="00C256A9"/>
    <w:rsid w:val="00C363D5"/>
    <w:rsid w:val="00C40215"/>
    <w:rsid w:val="00C47D9B"/>
    <w:rsid w:val="00C50E45"/>
    <w:rsid w:val="00C51633"/>
    <w:rsid w:val="00C53189"/>
    <w:rsid w:val="00C56EFA"/>
    <w:rsid w:val="00C575E1"/>
    <w:rsid w:val="00C60C6F"/>
    <w:rsid w:val="00C620BB"/>
    <w:rsid w:val="00C76EC6"/>
    <w:rsid w:val="00C8369D"/>
    <w:rsid w:val="00C84A4F"/>
    <w:rsid w:val="00C85777"/>
    <w:rsid w:val="00C90796"/>
    <w:rsid w:val="00C95DB0"/>
    <w:rsid w:val="00CA4047"/>
    <w:rsid w:val="00CB0CE3"/>
    <w:rsid w:val="00CB4510"/>
    <w:rsid w:val="00CB6C07"/>
    <w:rsid w:val="00CC1013"/>
    <w:rsid w:val="00CC4348"/>
    <w:rsid w:val="00CC43B9"/>
    <w:rsid w:val="00CD2D9A"/>
    <w:rsid w:val="00CD6439"/>
    <w:rsid w:val="00CD6685"/>
    <w:rsid w:val="00CF4367"/>
    <w:rsid w:val="00D159BC"/>
    <w:rsid w:val="00D17176"/>
    <w:rsid w:val="00D201C4"/>
    <w:rsid w:val="00D22039"/>
    <w:rsid w:val="00D30C81"/>
    <w:rsid w:val="00D33689"/>
    <w:rsid w:val="00D3601A"/>
    <w:rsid w:val="00D418DD"/>
    <w:rsid w:val="00D4308F"/>
    <w:rsid w:val="00D45D5E"/>
    <w:rsid w:val="00D51B60"/>
    <w:rsid w:val="00D53810"/>
    <w:rsid w:val="00D573E0"/>
    <w:rsid w:val="00D6507C"/>
    <w:rsid w:val="00D66C92"/>
    <w:rsid w:val="00D670E9"/>
    <w:rsid w:val="00D753FA"/>
    <w:rsid w:val="00D76A76"/>
    <w:rsid w:val="00D81F21"/>
    <w:rsid w:val="00D8539A"/>
    <w:rsid w:val="00D911CE"/>
    <w:rsid w:val="00D931FF"/>
    <w:rsid w:val="00D94F48"/>
    <w:rsid w:val="00DA282E"/>
    <w:rsid w:val="00DB6424"/>
    <w:rsid w:val="00DE5140"/>
    <w:rsid w:val="00DE7E3C"/>
    <w:rsid w:val="00E05DAE"/>
    <w:rsid w:val="00E06500"/>
    <w:rsid w:val="00E148CE"/>
    <w:rsid w:val="00E16A85"/>
    <w:rsid w:val="00E30947"/>
    <w:rsid w:val="00E335B8"/>
    <w:rsid w:val="00E33D30"/>
    <w:rsid w:val="00E34998"/>
    <w:rsid w:val="00E4083F"/>
    <w:rsid w:val="00E509E8"/>
    <w:rsid w:val="00E54CF4"/>
    <w:rsid w:val="00E60C32"/>
    <w:rsid w:val="00E71BB7"/>
    <w:rsid w:val="00E76730"/>
    <w:rsid w:val="00E81C77"/>
    <w:rsid w:val="00E86DF7"/>
    <w:rsid w:val="00E93FD4"/>
    <w:rsid w:val="00E97A4B"/>
    <w:rsid w:val="00EA07DC"/>
    <w:rsid w:val="00EA2F66"/>
    <w:rsid w:val="00EB2D40"/>
    <w:rsid w:val="00EB65A0"/>
    <w:rsid w:val="00EE7B02"/>
    <w:rsid w:val="00EF5F60"/>
    <w:rsid w:val="00EF6DD0"/>
    <w:rsid w:val="00F02446"/>
    <w:rsid w:val="00F20594"/>
    <w:rsid w:val="00F2201A"/>
    <w:rsid w:val="00F241D4"/>
    <w:rsid w:val="00F2485D"/>
    <w:rsid w:val="00F3574F"/>
    <w:rsid w:val="00F51761"/>
    <w:rsid w:val="00F51860"/>
    <w:rsid w:val="00F6448C"/>
    <w:rsid w:val="00F7650F"/>
    <w:rsid w:val="00F81423"/>
    <w:rsid w:val="00F82609"/>
    <w:rsid w:val="00F949F3"/>
    <w:rsid w:val="00F94B8B"/>
    <w:rsid w:val="00F961D8"/>
    <w:rsid w:val="00FA3987"/>
    <w:rsid w:val="00FA48C5"/>
    <w:rsid w:val="00FA68ED"/>
    <w:rsid w:val="00FA7073"/>
    <w:rsid w:val="00FD1BB5"/>
    <w:rsid w:val="00FD3217"/>
    <w:rsid w:val="00FD56E5"/>
    <w:rsid w:val="00FD6E4B"/>
    <w:rsid w:val="00FE42BE"/>
    <w:rsid w:val="00FE5EB9"/>
    <w:rsid w:val="00FF184A"/>
    <w:rsid w:val="00FF5CCA"/>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BF1637A"/>
  <w15:docId w15:val="{5FB22E0E-ACAB-412A-96FC-BC5123803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ES" w:eastAsia="zh-CN" w:bidi="es-ES"/>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0796"/>
    <w:pPr>
      <w:spacing w:after="189" w:line="249" w:lineRule="auto"/>
      <w:ind w:right="1" w:firstLine="350"/>
      <w:jc w:val="both"/>
    </w:pPr>
    <w:rPr>
      <w:rFonts w:ascii="Arial" w:eastAsia="SimSun" w:hAnsi="Arial" w:cs="Arial"/>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Grid">
    <w:name w:val="TableGrid"/>
    <w:rsid w:val="00C90796"/>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iPriority w:val="99"/>
    <w:semiHidden/>
    <w:unhideWhenUsed/>
    <w:rsid w:val="003C32A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C32A2"/>
    <w:rPr>
      <w:rFonts w:ascii="Segoe UI" w:eastAsia="SimSun" w:hAnsi="Segoe UI" w:cs="Segoe UI"/>
      <w:color w:val="000000"/>
      <w:sz w:val="18"/>
      <w:szCs w:val="18"/>
    </w:rPr>
  </w:style>
  <w:style w:type="paragraph" w:styleId="Encabezado">
    <w:name w:val="header"/>
    <w:basedOn w:val="Normal"/>
    <w:link w:val="EncabezadoCar"/>
    <w:uiPriority w:val="99"/>
    <w:unhideWhenUsed/>
    <w:rsid w:val="007A4EE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A4EE7"/>
    <w:rPr>
      <w:rFonts w:ascii="Arial" w:eastAsia="SimSun" w:hAnsi="Arial" w:cs="Arial"/>
      <w:color w:val="000000"/>
    </w:rPr>
  </w:style>
  <w:style w:type="paragraph" w:styleId="Piedepgina">
    <w:name w:val="footer"/>
    <w:basedOn w:val="Normal"/>
    <w:link w:val="PiedepginaCar"/>
    <w:uiPriority w:val="99"/>
    <w:unhideWhenUsed/>
    <w:rsid w:val="007A4EE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A4EE7"/>
    <w:rPr>
      <w:rFonts w:ascii="Arial" w:eastAsia="SimSun" w:hAnsi="Arial" w:cs="Arial"/>
      <w:color w:val="000000"/>
    </w:rPr>
  </w:style>
  <w:style w:type="paragraph" w:styleId="Textonotapie">
    <w:name w:val="footnote text"/>
    <w:basedOn w:val="Normal"/>
    <w:link w:val="TextonotapieCar"/>
    <w:uiPriority w:val="99"/>
    <w:semiHidden/>
    <w:unhideWhenUsed/>
    <w:rsid w:val="001F5A1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F5A1F"/>
    <w:rPr>
      <w:rFonts w:ascii="Arial" w:eastAsia="SimSun" w:hAnsi="Arial" w:cs="Arial"/>
      <w:color w:val="000000"/>
      <w:sz w:val="20"/>
      <w:szCs w:val="20"/>
    </w:rPr>
  </w:style>
  <w:style w:type="character" w:styleId="Refdenotaalpie">
    <w:name w:val="footnote reference"/>
    <w:basedOn w:val="Fuentedeprrafopredeter"/>
    <w:uiPriority w:val="99"/>
    <w:semiHidden/>
    <w:unhideWhenUsed/>
    <w:rsid w:val="001F5A1F"/>
    <w:rPr>
      <w:vertAlign w:val="superscript"/>
    </w:rPr>
  </w:style>
  <w:style w:type="character" w:styleId="Hipervnculo">
    <w:name w:val="Hyperlink"/>
    <w:basedOn w:val="Fuentedeprrafopredeter"/>
    <w:uiPriority w:val="99"/>
    <w:unhideWhenUsed/>
    <w:rsid w:val="005034DE"/>
    <w:rPr>
      <w:color w:val="0563C1" w:themeColor="hyperlink"/>
      <w:u w:val="single"/>
    </w:rPr>
  </w:style>
  <w:style w:type="character" w:customStyle="1" w:styleId="apple-converted-space">
    <w:name w:val="apple-converted-space"/>
    <w:basedOn w:val="Fuentedeprrafopredeter"/>
    <w:rsid w:val="008A29DB"/>
  </w:style>
  <w:style w:type="paragraph" w:customStyle="1" w:styleId="Default">
    <w:name w:val="Default"/>
    <w:rsid w:val="00BE7716"/>
    <w:pPr>
      <w:autoSpaceDE w:val="0"/>
      <w:autoSpaceDN w:val="0"/>
      <w:adjustRightInd w:val="0"/>
      <w:spacing w:after="0" w:line="240" w:lineRule="auto"/>
    </w:pPr>
    <w:rPr>
      <w:rFonts w:ascii="Arial" w:eastAsia="SimSun" w:hAnsi="Arial" w:cs="Arial"/>
      <w:color w:val="000000"/>
      <w:sz w:val="24"/>
      <w:szCs w:val="24"/>
      <w:lang w:bidi="ar-SA"/>
    </w:rPr>
  </w:style>
  <w:style w:type="paragraph" w:styleId="Prrafodelista">
    <w:name w:val="List Paragraph"/>
    <w:basedOn w:val="Normal"/>
    <w:uiPriority w:val="34"/>
    <w:qFormat/>
    <w:rsid w:val="0038135F"/>
    <w:pPr>
      <w:spacing w:after="0" w:line="240" w:lineRule="auto"/>
      <w:ind w:left="720" w:right="0" w:firstLine="0"/>
      <w:jc w:val="left"/>
    </w:pPr>
    <w:rPr>
      <w:rFonts w:ascii="Calibri" w:eastAsiaTheme="minorHAnsi" w:hAnsi="Calibri" w:cs="Times New Roman"/>
      <w:color w:val="auto"/>
      <w:lang w:bidi="ar-SA"/>
    </w:rPr>
  </w:style>
  <w:style w:type="character" w:styleId="nfasis">
    <w:name w:val="Emphasis"/>
    <w:basedOn w:val="Fuentedeprrafopredeter"/>
    <w:uiPriority w:val="20"/>
    <w:qFormat/>
    <w:rsid w:val="00366082"/>
    <w:rPr>
      <w:i/>
      <w:iCs/>
    </w:rPr>
  </w:style>
  <w:style w:type="character" w:styleId="Refdecomentario">
    <w:name w:val="annotation reference"/>
    <w:basedOn w:val="Fuentedeprrafopredeter"/>
    <w:uiPriority w:val="99"/>
    <w:semiHidden/>
    <w:unhideWhenUsed/>
    <w:rsid w:val="00AA31F9"/>
    <w:rPr>
      <w:sz w:val="16"/>
      <w:szCs w:val="16"/>
    </w:rPr>
  </w:style>
  <w:style w:type="paragraph" w:styleId="Textocomentario">
    <w:name w:val="annotation text"/>
    <w:basedOn w:val="Normal"/>
    <w:link w:val="TextocomentarioCar"/>
    <w:uiPriority w:val="99"/>
    <w:semiHidden/>
    <w:unhideWhenUsed/>
    <w:rsid w:val="00AA31F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A31F9"/>
    <w:rPr>
      <w:rFonts w:ascii="Arial" w:eastAsia="SimSun" w:hAnsi="Arial" w:cs="Arial"/>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AA31F9"/>
    <w:rPr>
      <w:b/>
      <w:bCs/>
    </w:rPr>
  </w:style>
  <w:style w:type="character" w:customStyle="1" w:styleId="AsuntodelcomentarioCar">
    <w:name w:val="Asunto del comentario Car"/>
    <w:basedOn w:val="TextocomentarioCar"/>
    <w:link w:val="Asuntodelcomentario"/>
    <w:uiPriority w:val="99"/>
    <w:semiHidden/>
    <w:rsid w:val="00AA31F9"/>
    <w:rPr>
      <w:rFonts w:ascii="Arial" w:eastAsia="SimSun" w:hAnsi="Arial" w:cs="Arial"/>
      <w:b/>
      <w:bCs/>
      <w:color w:val="000000"/>
      <w:sz w:val="20"/>
      <w:szCs w:val="20"/>
    </w:rPr>
  </w:style>
  <w:style w:type="paragraph" w:styleId="Revisin">
    <w:name w:val="Revision"/>
    <w:hidden/>
    <w:uiPriority w:val="99"/>
    <w:semiHidden/>
    <w:rsid w:val="00AA31F9"/>
    <w:pPr>
      <w:spacing w:after="0" w:line="240" w:lineRule="auto"/>
    </w:pPr>
    <w:rPr>
      <w:rFonts w:ascii="Arial" w:eastAsia="SimSun" w:hAnsi="Arial" w:cs="Arial"/>
      <w:color w:val="000000"/>
    </w:rPr>
  </w:style>
  <w:style w:type="paragraph" w:styleId="HTMLconformatoprevio">
    <w:name w:val="HTML Preformatted"/>
    <w:basedOn w:val="Normal"/>
    <w:link w:val="HTMLconformatoprevioCar"/>
    <w:uiPriority w:val="99"/>
    <w:unhideWhenUsed/>
    <w:rsid w:val="00400F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0" w:firstLine="0"/>
      <w:jc w:val="left"/>
    </w:pPr>
    <w:rPr>
      <w:rFonts w:ascii="Courier New" w:hAnsi="Courier New" w:cs="Courier New"/>
      <w:color w:val="auto"/>
      <w:sz w:val="24"/>
      <w:szCs w:val="24"/>
      <w:lang w:val="en-GB" w:bidi="ar-SA"/>
    </w:rPr>
  </w:style>
  <w:style w:type="character" w:customStyle="1" w:styleId="HTMLconformatoprevioCar">
    <w:name w:val="HTML con formato previo Car"/>
    <w:basedOn w:val="Fuentedeprrafopredeter"/>
    <w:link w:val="HTMLconformatoprevio"/>
    <w:uiPriority w:val="99"/>
    <w:rsid w:val="00400F99"/>
    <w:rPr>
      <w:rFonts w:ascii="Courier New" w:eastAsia="SimSun" w:hAnsi="Courier New" w:cs="Courier New"/>
      <w:sz w:val="24"/>
      <w:szCs w:val="24"/>
      <w:lang w:val="en-GB" w:eastAsia="zh-CN" w:bidi="ar-SA"/>
    </w:rPr>
  </w:style>
  <w:style w:type="table" w:styleId="Tablaconcuadrcula">
    <w:name w:val="Table Grid"/>
    <w:basedOn w:val="Tablanormal"/>
    <w:uiPriority w:val="39"/>
    <w:rsid w:val="00400F99"/>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C3976"/>
    <w:pPr>
      <w:spacing w:before="100" w:beforeAutospacing="1" w:after="100" w:afterAutospacing="1" w:line="240" w:lineRule="auto"/>
      <w:ind w:right="0" w:firstLine="0"/>
      <w:jc w:val="left"/>
    </w:pPr>
    <w:rPr>
      <w:rFonts w:ascii="Times New Roman" w:hAnsi="Times New Roman" w:cs="Times New Roman"/>
      <w:color w:val="auto"/>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1916">
      <w:bodyDiv w:val="1"/>
      <w:marLeft w:val="0"/>
      <w:marRight w:val="0"/>
      <w:marTop w:val="0"/>
      <w:marBottom w:val="0"/>
      <w:divBdr>
        <w:top w:val="none" w:sz="0" w:space="0" w:color="auto"/>
        <w:left w:val="none" w:sz="0" w:space="0" w:color="auto"/>
        <w:bottom w:val="none" w:sz="0" w:space="0" w:color="auto"/>
        <w:right w:val="none" w:sz="0" w:space="0" w:color="auto"/>
      </w:divBdr>
    </w:div>
    <w:div w:id="27995524">
      <w:bodyDiv w:val="1"/>
      <w:marLeft w:val="0"/>
      <w:marRight w:val="0"/>
      <w:marTop w:val="0"/>
      <w:marBottom w:val="0"/>
      <w:divBdr>
        <w:top w:val="none" w:sz="0" w:space="0" w:color="auto"/>
        <w:left w:val="none" w:sz="0" w:space="0" w:color="auto"/>
        <w:bottom w:val="none" w:sz="0" w:space="0" w:color="auto"/>
        <w:right w:val="none" w:sz="0" w:space="0" w:color="auto"/>
      </w:divBdr>
    </w:div>
    <w:div w:id="50618371">
      <w:bodyDiv w:val="1"/>
      <w:marLeft w:val="0"/>
      <w:marRight w:val="0"/>
      <w:marTop w:val="0"/>
      <w:marBottom w:val="0"/>
      <w:divBdr>
        <w:top w:val="none" w:sz="0" w:space="0" w:color="auto"/>
        <w:left w:val="none" w:sz="0" w:space="0" w:color="auto"/>
        <w:bottom w:val="none" w:sz="0" w:space="0" w:color="auto"/>
        <w:right w:val="none" w:sz="0" w:space="0" w:color="auto"/>
      </w:divBdr>
    </w:div>
    <w:div w:id="80421089">
      <w:bodyDiv w:val="1"/>
      <w:marLeft w:val="0"/>
      <w:marRight w:val="0"/>
      <w:marTop w:val="0"/>
      <w:marBottom w:val="0"/>
      <w:divBdr>
        <w:top w:val="none" w:sz="0" w:space="0" w:color="auto"/>
        <w:left w:val="none" w:sz="0" w:space="0" w:color="auto"/>
        <w:bottom w:val="none" w:sz="0" w:space="0" w:color="auto"/>
        <w:right w:val="none" w:sz="0" w:space="0" w:color="auto"/>
      </w:divBdr>
    </w:div>
    <w:div w:id="538977732">
      <w:bodyDiv w:val="1"/>
      <w:marLeft w:val="0"/>
      <w:marRight w:val="0"/>
      <w:marTop w:val="0"/>
      <w:marBottom w:val="0"/>
      <w:divBdr>
        <w:top w:val="none" w:sz="0" w:space="0" w:color="auto"/>
        <w:left w:val="none" w:sz="0" w:space="0" w:color="auto"/>
        <w:bottom w:val="none" w:sz="0" w:space="0" w:color="auto"/>
        <w:right w:val="none" w:sz="0" w:space="0" w:color="auto"/>
      </w:divBdr>
    </w:div>
    <w:div w:id="709186236">
      <w:bodyDiv w:val="1"/>
      <w:marLeft w:val="0"/>
      <w:marRight w:val="0"/>
      <w:marTop w:val="0"/>
      <w:marBottom w:val="0"/>
      <w:divBdr>
        <w:top w:val="none" w:sz="0" w:space="0" w:color="auto"/>
        <w:left w:val="none" w:sz="0" w:space="0" w:color="auto"/>
        <w:bottom w:val="none" w:sz="0" w:space="0" w:color="auto"/>
        <w:right w:val="none" w:sz="0" w:space="0" w:color="auto"/>
      </w:divBdr>
    </w:div>
    <w:div w:id="721096327">
      <w:bodyDiv w:val="1"/>
      <w:marLeft w:val="0"/>
      <w:marRight w:val="0"/>
      <w:marTop w:val="0"/>
      <w:marBottom w:val="0"/>
      <w:divBdr>
        <w:top w:val="none" w:sz="0" w:space="0" w:color="auto"/>
        <w:left w:val="none" w:sz="0" w:space="0" w:color="auto"/>
        <w:bottom w:val="none" w:sz="0" w:space="0" w:color="auto"/>
        <w:right w:val="none" w:sz="0" w:space="0" w:color="auto"/>
      </w:divBdr>
    </w:div>
    <w:div w:id="947542783">
      <w:bodyDiv w:val="1"/>
      <w:marLeft w:val="0"/>
      <w:marRight w:val="0"/>
      <w:marTop w:val="0"/>
      <w:marBottom w:val="0"/>
      <w:divBdr>
        <w:top w:val="none" w:sz="0" w:space="0" w:color="auto"/>
        <w:left w:val="none" w:sz="0" w:space="0" w:color="auto"/>
        <w:bottom w:val="none" w:sz="0" w:space="0" w:color="auto"/>
        <w:right w:val="none" w:sz="0" w:space="0" w:color="auto"/>
      </w:divBdr>
    </w:div>
    <w:div w:id="1021931458">
      <w:bodyDiv w:val="1"/>
      <w:marLeft w:val="0"/>
      <w:marRight w:val="0"/>
      <w:marTop w:val="0"/>
      <w:marBottom w:val="0"/>
      <w:divBdr>
        <w:top w:val="none" w:sz="0" w:space="0" w:color="auto"/>
        <w:left w:val="none" w:sz="0" w:space="0" w:color="auto"/>
        <w:bottom w:val="none" w:sz="0" w:space="0" w:color="auto"/>
        <w:right w:val="none" w:sz="0" w:space="0" w:color="auto"/>
      </w:divBdr>
    </w:div>
    <w:div w:id="1055276687">
      <w:bodyDiv w:val="1"/>
      <w:marLeft w:val="0"/>
      <w:marRight w:val="0"/>
      <w:marTop w:val="0"/>
      <w:marBottom w:val="0"/>
      <w:divBdr>
        <w:top w:val="none" w:sz="0" w:space="0" w:color="auto"/>
        <w:left w:val="none" w:sz="0" w:space="0" w:color="auto"/>
        <w:bottom w:val="none" w:sz="0" w:space="0" w:color="auto"/>
        <w:right w:val="none" w:sz="0" w:space="0" w:color="auto"/>
      </w:divBdr>
    </w:div>
    <w:div w:id="1443261195">
      <w:bodyDiv w:val="1"/>
      <w:marLeft w:val="0"/>
      <w:marRight w:val="0"/>
      <w:marTop w:val="0"/>
      <w:marBottom w:val="0"/>
      <w:divBdr>
        <w:top w:val="none" w:sz="0" w:space="0" w:color="auto"/>
        <w:left w:val="none" w:sz="0" w:space="0" w:color="auto"/>
        <w:bottom w:val="none" w:sz="0" w:space="0" w:color="auto"/>
        <w:right w:val="none" w:sz="0" w:space="0" w:color="auto"/>
      </w:divBdr>
    </w:div>
    <w:div w:id="1468204032">
      <w:bodyDiv w:val="1"/>
      <w:marLeft w:val="0"/>
      <w:marRight w:val="0"/>
      <w:marTop w:val="0"/>
      <w:marBottom w:val="0"/>
      <w:divBdr>
        <w:top w:val="none" w:sz="0" w:space="0" w:color="auto"/>
        <w:left w:val="none" w:sz="0" w:space="0" w:color="auto"/>
        <w:bottom w:val="none" w:sz="0" w:space="0" w:color="auto"/>
        <w:right w:val="none" w:sz="0" w:space="0" w:color="auto"/>
      </w:divBdr>
    </w:div>
    <w:div w:id="1540894563">
      <w:bodyDiv w:val="1"/>
      <w:marLeft w:val="0"/>
      <w:marRight w:val="0"/>
      <w:marTop w:val="0"/>
      <w:marBottom w:val="0"/>
      <w:divBdr>
        <w:top w:val="none" w:sz="0" w:space="0" w:color="auto"/>
        <w:left w:val="none" w:sz="0" w:space="0" w:color="auto"/>
        <w:bottom w:val="none" w:sz="0" w:space="0" w:color="auto"/>
        <w:right w:val="none" w:sz="0" w:space="0" w:color="auto"/>
      </w:divBdr>
    </w:div>
    <w:div w:id="1624648524">
      <w:bodyDiv w:val="1"/>
      <w:marLeft w:val="0"/>
      <w:marRight w:val="0"/>
      <w:marTop w:val="0"/>
      <w:marBottom w:val="0"/>
      <w:divBdr>
        <w:top w:val="none" w:sz="0" w:space="0" w:color="auto"/>
        <w:left w:val="none" w:sz="0" w:space="0" w:color="auto"/>
        <w:bottom w:val="none" w:sz="0" w:space="0" w:color="auto"/>
        <w:right w:val="none" w:sz="0" w:space="0" w:color="auto"/>
      </w:divBdr>
    </w:div>
    <w:div w:id="1911692108">
      <w:bodyDiv w:val="1"/>
      <w:marLeft w:val="0"/>
      <w:marRight w:val="0"/>
      <w:marTop w:val="0"/>
      <w:marBottom w:val="0"/>
      <w:divBdr>
        <w:top w:val="none" w:sz="0" w:space="0" w:color="auto"/>
        <w:left w:val="none" w:sz="0" w:space="0" w:color="auto"/>
        <w:bottom w:val="none" w:sz="0" w:space="0" w:color="auto"/>
        <w:right w:val="none" w:sz="0" w:space="0" w:color="auto"/>
      </w:divBdr>
    </w:div>
    <w:div w:id="2129276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rieto@gestamp.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SimSun"/>
        <a:cs typeface=""/>
      </a:majorFont>
      <a:minorFont>
        <a:latin typeface="Calibri"/>
        <a:ea typeface="SimSun"/>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CA281-BA28-45EC-8A40-AA5A753D6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265</Words>
  <Characters>1459</Characters>
  <Application>Microsoft Office Word</Application>
  <DocSecurity>0</DocSecurity>
  <Lines>12</Lines>
  <Paragraphs>3</Paragraphs>
  <ScaleCrop>false</ScaleCrop>
  <HeadingPairs>
    <vt:vector size="6" baseType="variant">
      <vt:variant>
        <vt:lpstr>Título</vt:lpstr>
      </vt:variant>
      <vt:variant>
        <vt:i4>1</vt:i4>
      </vt:variant>
      <vt:variant>
        <vt:lpstr>Title</vt:lpstr>
      </vt:variant>
      <vt:variant>
        <vt:i4>1</vt:i4>
      </vt:variant>
      <vt:variant>
        <vt:lpstr>Názov</vt:lpstr>
      </vt:variant>
      <vt:variant>
        <vt:i4>1</vt:i4>
      </vt:variant>
    </vt:vector>
  </HeadingPairs>
  <TitlesOfParts>
    <vt:vector size="3" baseType="lpstr">
      <vt:lpstr/>
      <vt:lpstr/>
      <vt:lpstr/>
    </vt:vector>
  </TitlesOfParts>
  <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Gonzalo Prieto</dc:creator>
  <cp:lastModifiedBy>Aranzazu Garcia</cp:lastModifiedBy>
  <cp:revision>6</cp:revision>
  <cp:lastPrinted>2019-04-30T13:31:00Z</cp:lastPrinted>
  <dcterms:created xsi:type="dcterms:W3CDTF">2019-05-06T09:38:00Z</dcterms:created>
  <dcterms:modified xsi:type="dcterms:W3CDTF">2019-05-17T14:36:00Z</dcterms:modified>
</cp:coreProperties>
</file>